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9375" w14:textId="6D157EC4" w:rsidR="00A065AB" w:rsidRPr="00A065AB" w:rsidRDefault="00A065AB" w:rsidP="00C65C50">
      <w:pPr>
        <w:spacing w:before="120" w:after="120"/>
        <w:rPr>
          <w:b/>
          <w:bCs/>
          <w:color w:val="44546A"/>
          <w:sz w:val="24"/>
          <w:szCs w:val="24"/>
        </w:rPr>
      </w:pPr>
      <w:r w:rsidRPr="00A065AB">
        <w:rPr>
          <w:b/>
          <w:bCs/>
          <w:color w:val="44546A"/>
          <w:sz w:val="24"/>
          <w:szCs w:val="24"/>
        </w:rPr>
        <w:t>Description</w:t>
      </w:r>
    </w:p>
    <w:p w14:paraId="3B57C838" w14:textId="6E3146D9" w:rsidR="00D42C91" w:rsidRPr="00BD0741" w:rsidRDefault="00B953DF" w:rsidP="00121F81">
      <w:pPr>
        <w:spacing w:before="120" w:after="120"/>
        <w:rPr>
          <w:rFonts w:eastAsia="Times New Roman"/>
          <w:color w:val="44546A"/>
          <w:sz w:val="24"/>
          <w:szCs w:val="24"/>
        </w:rPr>
      </w:pPr>
      <w:r w:rsidRPr="00BD0741">
        <w:rPr>
          <w:color w:val="44546A"/>
          <w:sz w:val="24"/>
          <w:szCs w:val="24"/>
        </w:rPr>
        <w:t xml:space="preserve">Under the authority of 42 C.F.R. § 438.6(b)(2) and in accordance with the Texas UMCM Chapter 6, the </w:t>
      </w:r>
      <w:r w:rsidR="00D42C91" w:rsidRPr="00BD0741">
        <w:rPr>
          <w:rFonts w:eastAsia="Times New Roman"/>
          <w:color w:val="44546A"/>
          <w:sz w:val="24"/>
          <w:szCs w:val="24"/>
        </w:rPr>
        <w:t xml:space="preserve">Medicaid Managed Care Aligning Technology by Linking Interoperable Systems </w:t>
      </w:r>
      <w:r w:rsidR="00101E2E">
        <w:rPr>
          <w:rFonts w:eastAsia="Times New Roman"/>
          <w:color w:val="44546A"/>
          <w:sz w:val="24"/>
          <w:szCs w:val="24"/>
        </w:rPr>
        <w:t>f</w:t>
      </w:r>
      <w:r w:rsidR="00D42C91" w:rsidRPr="00BD0741">
        <w:rPr>
          <w:rFonts w:eastAsia="Times New Roman"/>
          <w:color w:val="44546A"/>
          <w:sz w:val="24"/>
          <w:szCs w:val="24"/>
        </w:rPr>
        <w:t>or Client Health Outcomes Program (a.k</w:t>
      </w:r>
      <w:r w:rsidR="007748C1" w:rsidRPr="00BD0741">
        <w:rPr>
          <w:rFonts w:eastAsia="Times New Roman"/>
          <w:color w:val="44546A"/>
          <w:sz w:val="24"/>
          <w:szCs w:val="24"/>
        </w:rPr>
        <w:t>.</w:t>
      </w:r>
      <w:r w:rsidR="00D42C91" w:rsidRPr="00BD0741">
        <w:rPr>
          <w:rFonts w:eastAsia="Times New Roman"/>
          <w:color w:val="44546A"/>
          <w:sz w:val="24"/>
          <w:szCs w:val="24"/>
        </w:rPr>
        <w:t xml:space="preserve">a. The ATLIS) will </w:t>
      </w:r>
      <w:r w:rsidR="00695D62" w:rsidRPr="00BD0741">
        <w:rPr>
          <w:rFonts w:eastAsia="Times New Roman"/>
          <w:color w:val="44546A"/>
          <w:sz w:val="24"/>
          <w:szCs w:val="24"/>
        </w:rPr>
        <w:t xml:space="preserve">enter into incentive arrangements with </w:t>
      </w:r>
      <w:r w:rsidR="00D42C91" w:rsidRPr="00BD0741">
        <w:rPr>
          <w:rFonts w:eastAsia="Times New Roman"/>
          <w:color w:val="44546A"/>
          <w:sz w:val="24"/>
          <w:szCs w:val="24"/>
        </w:rPr>
        <w:t xml:space="preserve">Medicaid Managed Care Organizations (MCOs) for achieving certain milestones </w:t>
      </w:r>
      <w:r w:rsidR="00886D4B" w:rsidRPr="00BD0741">
        <w:rPr>
          <w:rFonts w:eastAsia="Times New Roman"/>
          <w:color w:val="44546A"/>
          <w:sz w:val="24"/>
          <w:szCs w:val="24"/>
        </w:rPr>
        <w:t xml:space="preserve">on a </w:t>
      </w:r>
      <w:r w:rsidR="006343C6" w:rsidRPr="00BD0741">
        <w:rPr>
          <w:rFonts w:eastAsia="Times New Roman"/>
          <w:color w:val="44546A"/>
          <w:sz w:val="24"/>
          <w:szCs w:val="24"/>
        </w:rPr>
        <w:t xml:space="preserve">semi-annual </w:t>
      </w:r>
      <w:r w:rsidR="00886D4B" w:rsidRPr="00BD0741">
        <w:rPr>
          <w:rFonts w:eastAsia="Times New Roman"/>
          <w:color w:val="44546A"/>
          <w:sz w:val="24"/>
          <w:szCs w:val="24"/>
        </w:rPr>
        <w:t>basis with the intention that the milestones will build on prior accomplishments over a 5-year period</w:t>
      </w:r>
      <w:r w:rsidR="00D42C91" w:rsidRPr="00BD0741">
        <w:rPr>
          <w:rFonts w:eastAsia="Times New Roman"/>
          <w:color w:val="44546A"/>
          <w:sz w:val="24"/>
          <w:szCs w:val="24"/>
        </w:rPr>
        <w:t xml:space="preserve">. The milestones will center around MCO achievement of necessary actions required to implement the structures, processes, and use of client data transmitted electronically between MCOs and providers in their networks to improve client outcome measures and to implement, </w:t>
      </w:r>
      <w:r w:rsidR="002E73AD" w:rsidRPr="00BD0741">
        <w:rPr>
          <w:rFonts w:eastAsia="Times New Roman"/>
          <w:color w:val="44546A"/>
          <w:sz w:val="24"/>
          <w:szCs w:val="24"/>
        </w:rPr>
        <w:t xml:space="preserve">evaluate, </w:t>
      </w:r>
      <w:r w:rsidR="00D42C91" w:rsidRPr="00BD0741">
        <w:rPr>
          <w:rFonts w:eastAsia="Times New Roman"/>
          <w:color w:val="44546A"/>
          <w:sz w:val="24"/>
          <w:szCs w:val="24"/>
        </w:rPr>
        <w:t xml:space="preserve">improve, and mature alternative payment models </w:t>
      </w:r>
      <w:r w:rsidR="00101E2E">
        <w:rPr>
          <w:rFonts w:eastAsia="Times New Roman"/>
          <w:color w:val="44546A"/>
          <w:sz w:val="24"/>
          <w:szCs w:val="24"/>
        </w:rPr>
        <w:t xml:space="preserve">(APMs) </w:t>
      </w:r>
      <w:r w:rsidR="00D42C91" w:rsidRPr="00BD0741">
        <w:rPr>
          <w:rFonts w:eastAsia="Times New Roman"/>
          <w:color w:val="44546A"/>
          <w:sz w:val="24"/>
          <w:szCs w:val="24"/>
        </w:rPr>
        <w:t>for Medicaid beneficiaries.</w:t>
      </w:r>
    </w:p>
    <w:p w14:paraId="59740576" w14:textId="11AB574D" w:rsidR="00D42C91" w:rsidRPr="00BD0741" w:rsidRDefault="0035392F" w:rsidP="00121F81">
      <w:pPr>
        <w:spacing w:before="120" w:after="120"/>
        <w:rPr>
          <w:rFonts w:eastAsia="Times New Roman"/>
          <w:color w:val="44546A"/>
          <w:sz w:val="24"/>
          <w:szCs w:val="24"/>
        </w:rPr>
      </w:pPr>
      <w:r>
        <w:rPr>
          <w:rFonts w:eastAsia="Times New Roman"/>
          <w:color w:val="44546A"/>
          <w:sz w:val="24"/>
          <w:szCs w:val="24"/>
        </w:rPr>
        <w:t xml:space="preserve">Texas September 2021 </w:t>
      </w:r>
      <w:r w:rsidR="00D42C91" w:rsidRPr="00BD0741">
        <w:rPr>
          <w:rFonts w:eastAsia="Times New Roman"/>
          <w:color w:val="44546A"/>
          <w:sz w:val="24"/>
          <w:szCs w:val="24"/>
        </w:rPr>
        <w:t>Medicaid Managed Care Strategies and Goals that the Program is Designed to Advance:</w:t>
      </w:r>
      <w:r w:rsidR="00595B56" w:rsidRPr="00BD0741">
        <w:rPr>
          <w:rFonts w:eastAsia="Times New Roman"/>
          <w:color w:val="44546A"/>
          <w:sz w:val="24"/>
          <w:szCs w:val="24"/>
        </w:rPr>
        <w:t xml:space="preserve"> This incentive payment would </w:t>
      </w:r>
      <w:r w:rsidR="009B408B" w:rsidRPr="00BD0741">
        <w:rPr>
          <w:rFonts w:eastAsia="Times New Roman"/>
          <w:color w:val="44546A"/>
          <w:sz w:val="24"/>
          <w:szCs w:val="24"/>
        </w:rPr>
        <w:t>meet the following goals and objectives of the Texas Managed Care Quality Strategy</w:t>
      </w:r>
      <w:r w:rsidR="008D5BE1" w:rsidRPr="00BD0741">
        <w:rPr>
          <w:rFonts w:eastAsia="Times New Roman"/>
          <w:color w:val="44546A"/>
          <w:sz w:val="24"/>
          <w:szCs w:val="24"/>
        </w:rPr>
        <w:t>.</w:t>
      </w:r>
    </w:p>
    <w:p w14:paraId="326357F1" w14:textId="3E7EF3A3" w:rsidR="008C162D" w:rsidRPr="00BD0741" w:rsidRDefault="008C162D" w:rsidP="00E2458C">
      <w:pPr>
        <w:pStyle w:val="ListParagraph"/>
        <w:numPr>
          <w:ilvl w:val="0"/>
          <w:numId w:val="40"/>
        </w:numPr>
        <w:contextualSpacing w:val="0"/>
        <w:rPr>
          <w:rFonts w:eastAsia="Times New Roman"/>
          <w:color w:val="44546A"/>
          <w:sz w:val="24"/>
          <w:szCs w:val="24"/>
        </w:rPr>
      </w:pPr>
      <w:r w:rsidRPr="00BD0741">
        <w:rPr>
          <w:rFonts w:eastAsia="Times New Roman"/>
          <w:color w:val="44546A"/>
          <w:sz w:val="24"/>
          <w:szCs w:val="24"/>
        </w:rPr>
        <w:t>Providing the right care in the right place at the right time to ensure people can easily navigate the health system to receive timely services in the least intensive or restrictive setting</w:t>
      </w:r>
      <w:r w:rsidR="00CC2074" w:rsidRPr="00BD0741">
        <w:rPr>
          <w:rFonts w:eastAsia="Times New Roman"/>
          <w:color w:val="44546A"/>
          <w:sz w:val="24"/>
          <w:szCs w:val="24"/>
        </w:rPr>
        <w:t xml:space="preserve"> </w:t>
      </w:r>
      <w:r w:rsidR="007748C1" w:rsidRPr="00BD0741">
        <w:rPr>
          <w:rFonts w:eastAsia="Times New Roman"/>
          <w:color w:val="44546A"/>
          <w:sz w:val="24"/>
          <w:szCs w:val="24"/>
        </w:rPr>
        <w:t>appropriate.</w:t>
      </w:r>
      <w:r w:rsidRPr="00BD0741">
        <w:rPr>
          <w:rFonts w:eastAsia="Times New Roman"/>
          <w:color w:val="44546A"/>
          <w:sz w:val="24"/>
          <w:szCs w:val="24"/>
        </w:rPr>
        <w:t xml:space="preserve"> </w:t>
      </w:r>
    </w:p>
    <w:p w14:paraId="6299D5AB" w14:textId="6B58E168" w:rsidR="00620836" w:rsidRPr="00BD0741" w:rsidRDefault="00620836"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 xml:space="preserve">Objective a. Reduced rate of avoidable hospital admissions and </w:t>
      </w:r>
      <w:r w:rsidR="007748C1" w:rsidRPr="00BD0741">
        <w:rPr>
          <w:rFonts w:eastAsia="Times New Roman"/>
          <w:color w:val="44546A"/>
          <w:sz w:val="24"/>
          <w:szCs w:val="24"/>
        </w:rPr>
        <w:t>readmissions.</w:t>
      </w:r>
      <w:r w:rsidRPr="00BD0741">
        <w:rPr>
          <w:rFonts w:eastAsia="Times New Roman"/>
          <w:color w:val="44546A"/>
          <w:sz w:val="24"/>
          <w:szCs w:val="24"/>
        </w:rPr>
        <w:t xml:space="preserve"> </w:t>
      </w:r>
    </w:p>
    <w:p w14:paraId="16237F27" w14:textId="33D9974B" w:rsidR="00620836" w:rsidRPr="00BD0741" w:rsidRDefault="00620836"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 xml:space="preserve">Objective b. Reduced rate of avoidable emergency department </w:t>
      </w:r>
      <w:r w:rsidR="007748C1" w:rsidRPr="00BD0741">
        <w:rPr>
          <w:rFonts w:eastAsia="Times New Roman"/>
          <w:color w:val="44546A"/>
          <w:sz w:val="24"/>
          <w:szCs w:val="24"/>
        </w:rPr>
        <w:t>visits.</w:t>
      </w:r>
    </w:p>
    <w:p w14:paraId="69B4218B" w14:textId="3D8DE6FF" w:rsidR="008C162D" w:rsidRPr="00BD0741" w:rsidRDefault="008C162D" w:rsidP="00E2458C">
      <w:pPr>
        <w:pStyle w:val="ListParagraph"/>
        <w:numPr>
          <w:ilvl w:val="1"/>
          <w:numId w:val="40"/>
        </w:numPr>
        <w:contextualSpacing w:val="0"/>
        <w:rPr>
          <w:rFonts w:eastAsia="Times New Roman"/>
          <w:color w:val="44546A"/>
          <w:sz w:val="24"/>
          <w:szCs w:val="24"/>
        </w:rPr>
      </w:pPr>
      <w:r w:rsidRPr="00BD0741">
        <w:rPr>
          <w:rFonts w:eastAsia="Times New Roman"/>
          <w:color w:val="44546A"/>
          <w:sz w:val="24"/>
          <w:szCs w:val="24"/>
        </w:rPr>
        <w:t>Objective</w:t>
      </w:r>
      <w:r w:rsidR="009C1BEA" w:rsidRPr="00BD0741">
        <w:rPr>
          <w:rFonts w:eastAsia="Times New Roman"/>
          <w:color w:val="44546A"/>
          <w:sz w:val="24"/>
          <w:szCs w:val="24"/>
        </w:rPr>
        <w:t xml:space="preserve"> </w:t>
      </w:r>
      <w:r w:rsidR="00985CC8" w:rsidRPr="00BD0741">
        <w:rPr>
          <w:rFonts w:eastAsia="Times New Roman"/>
          <w:color w:val="44546A"/>
          <w:sz w:val="24"/>
          <w:szCs w:val="24"/>
        </w:rPr>
        <w:t>e</w:t>
      </w:r>
      <w:r w:rsidR="003C4EA5" w:rsidRPr="00BD0741">
        <w:rPr>
          <w:rFonts w:eastAsia="Times New Roman"/>
          <w:color w:val="44546A"/>
          <w:sz w:val="24"/>
          <w:szCs w:val="24"/>
        </w:rPr>
        <w:t>.</w:t>
      </w:r>
      <w:r w:rsidR="009C1BEA" w:rsidRPr="00BD0741">
        <w:rPr>
          <w:rFonts w:eastAsia="Times New Roman"/>
          <w:color w:val="44546A"/>
          <w:sz w:val="24"/>
          <w:szCs w:val="24"/>
        </w:rPr>
        <w:t xml:space="preserve"> Optimized care transitions</w:t>
      </w:r>
      <w:r w:rsidR="00737E63" w:rsidRPr="00BD0741">
        <w:rPr>
          <w:rFonts w:eastAsia="Times New Roman"/>
          <w:color w:val="44546A"/>
          <w:sz w:val="24"/>
          <w:szCs w:val="24"/>
        </w:rPr>
        <w:t xml:space="preserve"> and care coordination</w:t>
      </w:r>
      <w:r w:rsidR="007748C1" w:rsidRPr="00BD0741">
        <w:rPr>
          <w:rFonts w:eastAsia="Times New Roman"/>
          <w:color w:val="44546A"/>
          <w:sz w:val="24"/>
          <w:szCs w:val="24"/>
        </w:rPr>
        <w:t>.</w:t>
      </w:r>
    </w:p>
    <w:p w14:paraId="5ECC881A" w14:textId="1717C806" w:rsidR="00D207DC" w:rsidRPr="00BD0741" w:rsidRDefault="00D207DC" w:rsidP="00E2458C">
      <w:pPr>
        <w:pStyle w:val="ListParagraph"/>
        <w:numPr>
          <w:ilvl w:val="0"/>
          <w:numId w:val="42"/>
        </w:numPr>
        <w:contextualSpacing w:val="0"/>
        <w:rPr>
          <w:rFonts w:eastAsia="Times New Roman"/>
          <w:color w:val="44546A"/>
          <w:sz w:val="24"/>
          <w:szCs w:val="24"/>
        </w:rPr>
      </w:pPr>
      <w:r w:rsidRPr="00BD0741">
        <w:rPr>
          <w:rFonts w:eastAsia="Times New Roman"/>
          <w:color w:val="44546A"/>
          <w:sz w:val="24"/>
          <w:szCs w:val="24"/>
        </w:rPr>
        <w:t>Promoting effective practices for people with chronic, complex, and serious conditions to improve people’s quality of life and independence, reduce mortality rates, and better manage the leading drivers of health care costs</w:t>
      </w:r>
      <w:r w:rsidR="00737E63" w:rsidRPr="00BD0741">
        <w:rPr>
          <w:rFonts w:eastAsia="Times New Roman"/>
          <w:color w:val="44546A"/>
          <w:sz w:val="24"/>
          <w:szCs w:val="24"/>
        </w:rPr>
        <w:t xml:space="preserve"> regardless of where they live in </w:t>
      </w:r>
      <w:r w:rsidR="007748C1" w:rsidRPr="00BD0741">
        <w:rPr>
          <w:rFonts w:eastAsia="Times New Roman"/>
          <w:color w:val="44546A"/>
          <w:sz w:val="24"/>
          <w:szCs w:val="24"/>
        </w:rPr>
        <w:t>Texas.</w:t>
      </w:r>
    </w:p>
    <w:p w14:paraId="46CEC247" w14:textId="54A75870" w:rsidR="00D207DC" w:rsidRPr="00BD0741" w:rsidRDefault="003C4EA5"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Objective d. Increased prevention, identification, treatment, and management of behavioral and mental health</w:t>
      </w:r>
      <w:r w:rsidR="007748C1" w:rsidRPr="00BD0741">
        <w:rPr>
          <w:rFonts w:eastAsia="Times New Roman"/>
          <w:color w:val="44546A"/>
          <w:sz w:val="24"/>
          <w:szCs w:val="24"/>
        </w:rPr>
        <w:t>.</w:t>
      </w:r>
    </w:p>
    <w:p w14:paraId="73EA067D" w14:textId="28D07589" w:rsidR="00756C33" w:rsidRPr="00BD0741" w:rsidRDefault="00756C33" w:rsidP="00E2458C">
      <w:pPr>
        <w:pStyle w:val="ListParagraph"/>
        <w:numPr>
          <w:ilvl w:val="0"/>
          <w:numId w:val="42"/>
        </w:numPr>
        <w:contextualSpacing w:val="0"/>
        <w:rPr>
          <w:rFonts w:eastAsia="Times New Roman"/>
          <w:color w:val="44546A"/>
          <w:sz w:val="24"/>
          <w:szCs w:val="24"/>
        </w:rPr>
      </w:pPr>
      <w:r w:rsidRPr="00BD0741">
        <w:rPr>
          <w:rFonts w:eastAsia="Times New Roman"/>
          <w:color w:val="44546A"/>
          <w:sz w:val="24"/>
          <w:szCs w:val="24"/>
        </w:rPr>
        <w:t>Attracting and retaining high</w:t>
      </w:r>
      <w:r w:rsidR="00D0105A" w:rsidRPr="00BD0741">
        <w:rPr>
          <w:rFonts w:eastAsia="Times New Roman"/>
          <w:color w:val="44546A"/>
          <w:sz w:val="24"/>
          <w:szCs w:val="24"/>
        </w:rPr>
        <w:t>-</w:t>
      </w:r>
      <w:r w:rsidRPr="00BD0741">
        <w:rPr>
          <w:rFonts w:eastAsia="Times New Roman"/>
          <w:color w:val="44546A"/>
          <w:sz w:val="24"/>
          <w:szCs w:val="24"/>
        </w:rPr>
        <w:t xml:space="preserve">performing Medicaid providers, including medical, behavioral health, dental, and long-term services and supports providers to participate in team based, collaborative, and coordinated </w:t>
      </w:r>
      <w:r w:rsidR="007748C1" w:rsidRPr="00BD0741">
        <w:rPr>
          <w:rFonts w:eastAsia="Times New Roman"/>
          <w:color w:val="44546A"/>
          <w:sz w:val="24"/>
          <w:szCs w:val="24"/>
        </w:rPr>
        <w:t>care.</w:t>
      </w:r>
    </w:p>
    <w:p w14:paraId="6760F55B" w14:textId="268A630F" w:rsidR="00756C33" w:rsidRPr="00BD0741" w:rsidRDefault="00307FAF"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 xml:space="preserve">Objective </w:t>
      </w:r>
      <w:r w:rsidR="00A64828" w:rsidRPr="00BD0741">
        <w:rPr>
          <w:rFonts w:eastAsia="Times New Roman"/>
          <w:color w:val="44546A"/>
          <w:sz w:val="24"/>
          <w:szCs w:val="24"/>
        </w:rPr>
        <w:t>c</w:t>
      </w:r>
      <w:r w:rsidRPr="00BD0741">
        <w:rPr>
          <w:rFonts w:eastAsia="Times New Roman"/>
          <w:color w:val="44546A"/>
          <w:sz w:val="24"/>
          <w:szCs w:val="24"/>
        </w:rPr>
        <w:t xml:space="preserve">. </w:t>
      </w:r>
      <w:r w:rsidR="009466F4" w:rsidRPr="00BD0741">
        <w:rPr>
          <w:rFonts w:eastAsia="Times New Roman"/>
          <w:color w:val="44546A"/>
          <w:sz w:val="24"/>
          <w:szCs w:val="24"/>
        </w:rPr>
        <w:t xml:space="preserve">Providers actively monitor patient outcomes and perspectives to address </w:t>
      </w:r>
      <w:r w:rsidR="00A64828" w:rsidRPr="00BD0741">
        <w:rPr>
          <w:rFonts w:eastAsia="Times New Roman"/>
          <w:color w:val="44546A"/>
          <w:sz w:val="24"/>
          <w:szCs w:val="24"/>
        </w:rPr>
        <w:t>their</w:t>
      </w:r>
      <w:r w:rsidR="009466F4" w:rsidRPr="00BD0741">
        <w:rPr>
          <w:rFonts w:eastAsia="Times New Roman"/>
          <w:color w:val="44546A"/>
          <w:sz w:val="24"/>
          <w:szCs w:val="24"/>
        </w:rPr>
        <w:t xml:space="preserve"> needs and improve healthcare </w:t>
      </w:r>
      <w:r w:rsidR="007748C1" w:rsidRPr="00BD0741">
        <w:rPr>
          <w:rFonts w:eastAsia="Times New Roman"/>
          <w:color w:val="44546A"/>
          <w:sz w:val="24"/>
          <w:szCs w:val="24"/>
        </w:rPr>
        <w:t>delivery.</w:t>
      </w:r>
    </w:p>
    <w:p w14:paraId="27ED8D14" w14:textId="32F89907" w:rsidR="009466F4" w:rsidRPr="00BD0741" w:rsidRDefault="008C4AEA" w:rsidP="00E2458C">
      <w:pPr>
        <w:pStyle w:val="ListParagraph"/>
        <w:numPr>
          <w:ilvl w:val="1"/>
          <w:numId w:val="42"/>
        </w:numPr>
        <w:contextualSpacing w:val="0"/>
        <w:rPr>
          <w:rFonts w:eastAsia="Times New Roman"/>
          <w:color w:val="44546A"/>
          <w:sz w:val="24"/>
          <w:szCs w:val="24"/>
        </w:rPr>
      </w:pPr>
      <w:r w:rsidRPr="00BD0741">
        <w:rPr>
          <w:rFonts w:eastAsia="Times New Roman"/>
          <w:color w:val="44546A"/>
          <w:sz w:val="24"/>
          <w:szCs w:val="24"/>
        </w:rPr>
        <w:t xml:space="preserve">Objective </w:t>
      </w:r>
      <w:r w:rsidR="00D3760F" w:rsidRPr="00BD0741">
        <w:rPr>
          <w:rFonts w:eastAsia="Times New Roman"/>
          <w:color w:val="44546A"/>
          <w:sz w:val="24"/>
          <w:szCs w:val="24"/>
        </w:rPr>
        <w:t>e</w:t>
      </w:r>
      <w:r w:rsidRPr="00BD0741">
        <w:rPr>
          <w:rFonts w:eastAsia="Times New Roman"/>
          <w:color w:val="44546A"/>
          <w:sz w:val="24"/>
          <w:szCs w:val="24"/>
        </w:rPr>
        <w:t xml:space="preserve">. </w:t>
      </w:r>
      <w:r w:rsidR="009466F4" w:rsidRPr="00BD0741">
        <w:rPr>
          <w:rFonts w:eastAsia="Times New Roman"/>
          <w:color w:val="44546A"/>
          <w:sz w:val="24"/>
          <w:szCs w:val="24"/>
        </w:rPr>
        <w:t>Timely and efficient exchange of health information and increased interoperability</w:t>
      </w:r>
      <w:r w:rsidR="007748C1" w:rsidRPr="00BD0741">
        <w:rPr>
          <w:rFonts w:eastAsia="Times New Roman"/>
          <w:color w:val="44546A"/>
          <w:sz w:val="24"/>
          <w:szCs w:val="24"/>
        </w:rPr>
        <w:t>.</w:t>
      </w:r>
    </w:p>
    <w:p w14:paraId="579A23BF" w14:textId="77777777" w:rsidR="004013E5" w:rsidRDefault="004013E5" w:rsidP="00121F81">
      <w:pPr>
        <w:spacing w:before="120" w:after="120"/>
        <w:rPr>
          <w:rFonts w:eastAsia="Times New Roman"/>
          <w:b/>
          <w:bCs/>
          <w:color w:val="44546A"/>
          <w:sz w:val="24"/>
          <w:szCs w:val="24"/>
        </w:rPr>
      </w:pPr>
    </w:p>
    <w:p w14:paraId="6A1D609E" w14:textId="72984BA0" w:rsidR="004441C5" w:rsidRPr="00F17907" w:rsidRDefault="004441C5" w:rsidP="00121F81">
      <w:pPr>
        <w:spacing w:before="120" w:after="120"/>
        <w:rPr>
          <w:rFonts w:eastAsia="Times New Roman"/>
          <w:b/>
          <w:bCs/>
          <w:color w:val="44546A"/>
          <w:sz w:val="24"/>
          <w:szCs w:val="24"/>
        </w:rPr>
      </w:pPr>
      <w:r w:rsidRPr="00F17907">
        <w:rPr>
          <w:rFonts w:eastAsia="Times New Roman"/>
          <w:b/>
          <w:bCs/>
          <w:color w:val="44546A"/>
          <w:sz w:val="24"/>
          <w:szCs w:val="24"/>
        </w:rPr>
        <w:t>Problem Statement</w:t>
      </w:r>
    </w:p>
    <w:p w14:paraId="4B4791E7" w14:textId="79FF7020" w:rsidR="00C63DD8" w:rsidRPr="00BD0741" w:rsidRDefault="00C63DD8" w:rsidP="00121F81">
      <w:pPr>
        <w:pStyle w:val="BodyText"/>
        <w:spacing w:before="120" w:after="120"/>
        <w:ind w:left="720"/>
        <w:rPr>
          <w:color w:val="44546A"/>
          <w:sz w:val="24"/>
          <w:szCs w:val="24"/>
        </w:rPr>
      </w:pPr>
      <w:r w:rsidRPr="00BD0741">
        <w:rPr>
          <w:color w:val="44546A"/>
          <w:sz w:val="24"/>
          <w:szCs w:val="24"/>
        </w:rPr>
        <w:t xml:space="preserve">Despite recent efforts to advance Health Information Exchange (HIE) participation, barriers to connectivity persist. Whether lack of information about HIE benefits, absence of infrastructure, hesitancy to share data, or </w:t>
      </w:r>
      <w:r w:rsidR="00101E2E">
        <w:rPr>
          <w:color w:val="44546A"/>
          <w:sz w:val="24"/>
          <w:szCs w:val="24"/>
        </w:rPr>
        <w:t>other reasons</w:t>
      </w:r>
      <w:r w:rsidRPr="00BD0741">
        <w:rPr>
          <w:color w:val="44546A"/>
          <w:sz w:val="24"/>
          <w:szCs w:val="24"/>
        </w:rPr>
        <w:t>, the inconsistency in connectivity across the state of Texas has inhibited efficient data sharing that would provide actionable data to improve the quality of care delivered to individuals in Medicaid.</w:t>
      </w:r>
    </w:p>
    <w:p w14:paraId="33E2454A" w14:textId="77777777" w:rsidR="00C65C50" w:rsidRDefault="00C65C50" w:rsidP="00C65C50">
      <w:pPr>
        <w:pStyle w:val="BodyText"/>
        <w:spacing w:before="120" w:after="120"/>
        <w:ind w:left="720"/>
        <w:rPr>
          <w:color w:val="44546A"/>
          <w:sz w:val="24"/>
          <w:szCs w:val="24"/>
        </w:rPr>
      </w:pPr>
    </w:p>
    <w:p w14:paraId="05F63FFA" w14:textId="4DA91DF2" w:rsidR="00C63DD8" w:rsidRPr="00BD0741" w:rsidRDefault="00C63DD8" w:rsidP="00C65C50">
      <w:pPr>
        <w:pStyle w:val="BodyText"/>
        <w:spacing w:before="120" w:after="120"/>
        <w:ind w:left="720"/>
        <w:rPr>
          <w:color w:val="44546A"/>
          <w:sz w:val="24"/>
          <w:szCs w:val="24"/>
        </w:rPr>
      </w:pPr>
      <w:r w:rsidRPr="00BD0741">
        <w:rPr>
          <w:color w:val="44546A"/>
          <w:sz w:val="24"/>
          <w:szCs w:val="24"/>
        </w:rPr>
        <w:lastRenderedPageBreak/>
        <w:t>The Centers for Medicare and Medicaid Services (CMS) has signaled that quality measurement will be moving toward all-digital platforms, and NCQA HEDIS measures are following suit. Enhancing connectivity between providers and payers and the types of data that are exchanged will help the state meet those expectations and ultimately, reduce provider and MCO administrative burden.</w:t>
      </w:r>
    </w:p>
    <w:p w14:paraId="305715AE" w14:textId="61B61DEA" w:rsidR="00C63DD8" w:rsidRPr="00BD0741" w:rsidRDefault="00C63DD8" w:rsidP="00121F81">
      <w:pPr>
        <w:pStyle w:val="BodyText"/>
        <w:spacing w:before="120" w:after="120"/>
        <w:ind w:left="720"/>
        <w:rPr>
          <w:color w:val="44546A"/>
          <w:sz w:val="24"/>
          <w:szCs w:val="24"/>
        </w:rPr>
      </w:pPr>
      <w:r w:rsidRPr="00BD0741">
        <w:rPr>
          <w:color w:val="44546A"/>
          <w:sz w:val="24"/>
          <w:szCs w:val="24"/>
        </w:rPr>
        <w:t xml:space="preserve">Based on reporting in the CHIRP program, the various classes of hospitals have </w:t>
      </w:r>
      <w:r w:rsidR="00101E2E">
        <w:rPr>
          <w:color w:val="44546A"/>
          <w:sz w:val="24"/>
          <w:szCs w:val="24"/>
        </w:rPr>
        <w:t>differing</w:t>
      </w:r>
      <w:r w:rsidRPr="00BD0741">
        <w:rPr>
          <w:color w:val="44546A"/>
          <w:sz w:val="24"/>
          <w:szCs w:val="24"/>
        </w:rPr>
        <w:t xml:space="preserve"> </w:t>
      </w:r>
      <w:r w:rsidR="003B2826" w:rsidRPr="00BD0741">
        <w:rPr>
          <w:color w:val="44546A"/>
          <w:sz w:val="24"/>
          <w:szCs w:val="24"/>
        </w:rPr>
        <w:t xml:space="preserve">levels </w:t>
      </w:r>
      <w:r w:rsidRPr="00BD0741">
        <w:rPr>
          <w:color w:val="44546A"/>
          <w:sz w:val="24"/>
          <w:szCs w:val="24"/>
        </w:rPr>
        <w:t>of connectivity. Some hospitals are connected to regional HIEs that share data with the Texas Health Services Authority</w:t>
      </w:r>
      <w:r w:rsidR="00A4162F" w:rsidRPr="00BD0741">
        <w:rPr>
          <w:color w:val="44546A"/>
          <w:sz w:val="24"/>
          <w:szCs w:val="24"/>
        </w:rPr>
        <w:t xml:space="preserve"> (THSA)</w:t>
      </w:r>
      <w:r w:rsidRPr="00BD0741">
        <w:rPr>
          <w:color w:val="44546A"/>
          <w:sz w:val="24"/>
          <w:szCs w:val="24"/>
        </w:rPr>
        <w:t xml:space="preserve">, a state-level health information exchange established by the Texas Legislature. </w:t>
      </w:r>
      <w:bookmarkStart w:id="0" w:name="_Hlk152575555"/>
      <w:r w:rsidRPr="00BD0741">
        <w:rPr>
          <w:color w:val="44546A"/>
          <w:sz w:val="24"/>
          <w:szCs w:val="24"/>
        </w:rPr>
        <w:t xml:space="preserve">Some hospitals are connected directly with THSA. </w:t>
      </w:r>
      <w:bookmarkEnd w:id="0"/>
      <w:r w:rsidR="00D0105A" w:rsidRPr="00BD0741">
        <w:rPr>
          <w:color w:val="44546A"/>
          <w:sz w:val="24"/>
          <w:szCs w:val="24"/>
        </w:rPr>
        <w:t>Some remain unconnected</w:t>
      </w:r>
      <w:r w:rsidR="0017042D" w:rsidRPr="00BD0741">
        <w:rPr>
          <w:color w:val="44546A"/>
          <w:sz w:val="24"/>
          <w:szCs w:val="24"/>
        </w:rPr>
        <w:t xml:space="preserve"> or</w:t>
      </w:r>
      <w:r w:rsidR="00D0105A" w:rsidRPr="00BD0741">
        <w:rPr>
          <w:color w:val="44546A"/>
          <w:sz w:val="24"/>
          <w:szCs w:val="24"/>
        </w:rPr>
        <w:t xml:space="preserve"> connect only to </w:t>
      </w:r>
      <w:r w:rsidR="00A533A2" w:rsidRPr="00BD0741">
        <w:rPr>
          <w:color w:val="44546A"/>
          <w:sz w:val="24"/>
          <w:szCs w:val="24"/>
        </w:rPr>
        <w:t xml:space="preserve">a </w:t>
      </w:r>
      <w:r w:rsidR="00FA2B1B" w:rsidRPr="00BD0741">
        <w:rPr>
          <w:color w:val="44546A"/>
          <w:sz w:val="24"/>
          <w:szCs w:val="24"/>
        </w:rPr>
        <w:t xml:space="preserve">regional </w:t>
      </w:r>
      <w:r w:rsidR="00D0105A" w:rsidRPr="00BD0741">
        <w:rPr>
          <w:color w:val="44546A"/>
          <w:sz w:val="24"/>
          <w:szCs w:val="24"/>
        </w:rPr>
        <w:t xml:space="preserve">or national HIE that </w:t>
      </w:r>
      <w:r w:rsidR="00FA2B1B" w:rsidRPr="00BD0741">
        <w:rPr>
          <w:color w:val="44546A"/>
          <w:sz w:val="24"/>
          <w:szCs w:val="24"/>
        </w:rPr>
        <w:t xml:space="preserve">may </w:t>
      </w:r>
      <w:r w:rsidR="00D0105A" w:rsidRPr="00BD0741">
        <w:rPr>
          <w:color w:val="44546A"/>
          <w:sz w:val="24"/>
          <w:szCs w:val="24"/>
        </w:rPr>
        <w:t>not exchang</w:t>
      </w:r>
      <w:r w:rsidR="00371E22" w:rsidRPr="00BD0741">
        <w:rPr>
          <w:color w:val="44546A"/>
          <w:sz w:val="24"/>
          <w:szCs w:val="24"/>
        </w:rPr>
        <w:t>e</w:t>
      </w:r>
      <w:r w:rsidR="00D0105A" w:rsidRPr="00BD0741">
        <w:rPr>
          <w:color w:val="44546A"/>
          <w:sz w:val="24"/>
          <w:szCs w:val="24"/>
        </w:rPr>
        <w:t xml:space="preserve"> data with payers or HHSC. </w:t>
      </w:r>
      <w:r w:rsidRPr="00BD0741">
        <w:rPr>
          <w:color w:val="44546A"/>
          <w:sz w:val="24"/>
          <w:szCs w:val="24"/>
        </w:rPr>
        <w:t xml:space="preserve">Likewise, the </w:t>
      </w:r>
      <w:r w:rsidR="003B5F4B" w:rsidRPr="00BD0741">
        <w:rPr>
          <w:color w:val="44546A"/>
          <w:sz w:val="24"/>
          <w:szCs w:val="24"/>
        </w:rPr>
        <w:t>MCOs</w:t>
      </w:r>
      <w:r w:rsidRPr="00BD0741">
        <w:rPr>
          <w:color w:val="44546A"/>
          <w:sz w:val="24"/>
          <w:szCs w:val="24"/>
        </w:rPr>
        <w:t xml:space="preserve"> have different levels of connectivity to regional or state HIE. As such, the first year of the program would </w:t>
      </w:r>
      <w:r w:rsidR="00E3091E" w:rsidRPr="00BD0741">
        <w:rPr>
          <w:color w:val="44546A"/>
          <w:sz w:val="24"/>
          <w:szCs w:val="24"/>
        </w:rPr>
        <w:t>require a</w:t>
      </w:r>
      <w:r w:rsidR="00307148" w:rsidRPr="00BD0741">
        <w:rPr>
          <w:color w:val="44546A"/>
          <w:sz w:val="24"/>
          <w:szCs w:val="24"/>
        </w:rPr>
        <w:t>n</w:t>
      </w:r>
      <w:r w:rsidR="00E3091E" w:rsidRPr="00BD0741">
        <w:rPr>
          <w:color w:val="44546A"/>
          <w:sz w:val="24"/>
          <w:szCs w:val="24"/>
        </w:rPr>
        <w:t xml:space="preserve"> assessment of</w:t>
      </w:r>
      <w:r w:rsidRPr="00BD0741">
        <w:rPr>
          <w:color w:val="44546A"/>
          <w:sz w:val="24"/>
          <w:szCs w:val="24"/>
        </w:rPr>
        <w:t xml:space="preserve"> current connectivity </w:t>
      </w:r>
      <w:r w:rsidR="00B02CF4" w:rsidRPr="00BD0741">
        <w:rPr>
          <w:color w:val="44546A"/>
          <w:sz w:val="24"/>
          <w:szCs w:val="24"/>
        </w:rPr>
        <w:t xml:space="preserve">and interoperability </w:t>
      </w:r>
      <w:r w:rsidRPr="00BD0741">
        <w:rPr>
          <w:color w:val="44546A"/>
          <w:sz w:val="24"/>
          <w:szCs w:val="24"/>
        </w:rPr>
        <w:t xml:space="preserve">status </w:t>
      </w:r>
      <w:r w:rsidR="00416C74" w:rsidRPr="00BD0741">
        <w:rPr>
          <w:color w:val="44546A"/>
          <w:sz w:val="24"/>
          <w:szCs w:val="24"/>
        </w:rPr>
        <w:t>to identify and quantify</w:t>
      </w:r>
      <w:r w:rsidR="005E34CB" w:rsidRPr="00BD0741">
        <w:rPr>
          <w:color w:val="44546A"/>
          <w:sz w:val="24"/>
          <w:szCs w:val="24"/>
        </w:rPr>
        <w:t xml:space="preserve"> opportunities for</w:t>
      </w:r>
      <w:r w:rsidR="00416C74" w:rsidRPr="00BD0741">
        <w:rPr>
          <w:color w:val="44546A"/>
          <w:sz w:val="24"/>
          <w:szCs w:val="24"/>
        </w:rPr>
        <w:t xml:space="preserve"> improv</w:t>
      </w:r>
      <w:r w:rsidR="007B7ED6" w:rsidRPr="00BD0741">
        <w:rPr>
          <w:color w:val="44546A"/>
          <w:sz w:val="24"/>
          <w:szCs w:val="24"/>
        </w:rPr>
        <w:t>ing health information exchange</w:t>
      </w:r>
      <w:r w:rsidR="005E34CB" w:rsidRPr="00BD0741">
        <w:rPr>
          <w:color w:val="44546A"/>
          <w:sz w:val="24"/>
          <w:szCs w:val="24"/>
        </w:rPr>
        <w:t>.</w:t>
      </w:r>
      <w:r w:rsidRPr="00BD0741">
        <w:rPr>
          <w:color w:val="44546A"/>
          <w:sz w:val="24"/>
          <w:szCs w:val="24"/>
        </w:rPr>
        <w:t xml:space="preserve"> As the program progresses, HHSC proposes to add additional process and outcome measures that will assess the impact of improved data exchange</w:t>
      </w:r>
      <w:r w:rsidR="003B5F4B" w:rsidRPr="00BD0741">
        <w:rPr>
          <w:color w:val="44546A"/>
          <w:sz w:val="24"/>
          <w:szCs w:val="24"/>
        </w:rPr>
        <w:t xml:space="preserve"> on the health outcomes of Medicaid beneficiaries</w:t>
      </w:r>
      <w:r w:rsidRPr="00BD0741">
        <w:rPr>
          <w:color w:val="44546A"/>
          <w:sz w:val="24"/>
          <w:szCs w:val="24"/>
        </w:rPr>
        <w:t>.</w:t>
      </w:r>
    </w:p>
    <w:p w14:paraId="79A30156" w14:textId="77777777" w:rsidR="008D040F" w:rsidRDefault="008D040F" w:rsidP="00121F81">
      <w:pPr>
        <w:spacing w:before="120" w:after="120"/>
        <w:jc w:val="center"/>
        <w:rPr>
          <w:rFonts w:eastAsia="Times New Roman"/>
          <w:b/>
          <w:bCs/>
          <w:color w:val="44546A"/>
          <w:sz w:val="24"/>
          <w:szCs w:val="24"/>
        </w:rPr>
      </w:pPr>
    </w:p>
    <w:p w14:paraId="3E6FB005" w14:textId="225D8AD0" w:rsidR="004441C5" w:rsidRDefault="00724233" w:rsidP="00121F81">
      <w:pPr>
        <w:spacing w:before="120" w:after="120"/>
        <w:jc w:val="center"/>
        <w:rPr>
          <w:rFonts w:eastAsia="Times New Roman"/>
          <w:b/>
          <w:bCs/>
          <w:color w:val="44546A"/>
          <w:sz w:val="24"/>
          <w:szCs w:val="24"/>
        </w:rPr>
      </w:pPr>
      <w:r w:rsidRPr="00C57248">
        <w:rPr>
          <w:rFonts w:eastAsia="Times New Roman"/>
          <w:b/>
          <w:bCs/>
          <w:color w:val="44546A"/>
          <w:sz w:val="24"/>
          <w:szCs w:val="24"/>
        </w:rPr>
        <w:t>Aligning Technology by Linking Interoperable Systems (</w:t>
      </w:r>
      <w:r w:rsidR="004441C5" w:rsidRPr="00C57248">
        <w:rPr>
          <w:rFonts w:eastAsia="Times New Roman"/>
          <w:b/>
          <w:bCs/>
          <w:color w:val="44546A"/>
          <w:sz w:val="24"/>
          <w:szCs w:val="24"/>
        </w:rPr>
        <w:t>ATLIS</w:t>
      </w:r>
      <w:r w:rsidRPr="00C57248">
        <w:rPr>
          <w:rFonts w:eastAsia="Times New Roman"/>
          <w:b/>
          <w:bCs/>
          <w:color w:val="44546A"/>
          <w:sz w:val="24"/>
          <w:szCs w:val="24"/>
        </w:rPr>
        <w:t>)</w:t>
      </w:r>
      <w:r w:rsidR="004441C5" w:rsidRPr="00C57248">
        <w:rPr>
          <w:rFonts w:eastAsia="Times New Roman"/>
          <w:b/>
          <w:bCs/>
          <w:color w:val="44546A"/>
          <w:sz w:val="24"/>
          <w:szCs w:val="24"/>
        </w:rPr>
        <w:t xml:space="preserve"> Multi-year Improvement Pathway</w:t>
      </w:r>
    </w:p>
    <w:tbl>
      <w:tblPr>
        <w:tblStyle w:val="TableGrid"/>
        <w:tblW w:w="0" w:type="auto"/>
        <w:tblLook w:val="04A0" w:firstRow="1" w:lastRow="0" w:firstColumn="1" w:lastColumn="0" w:noHBand="0" w:noVBand="1"/>
      </w:tblPr>
      <w:tblGrid>
        <w:gridCol w:w="3124"/>
        <w:gridCol w:w="15586"/>
      </w:tblGrid>
      <w:tr w:rsidR="008C7EE7" w:rsidRPr="00BD0741" w14:paraId="4E99857B" w14:textId="77777777" w:rsidTr="007069A0">
        <w:trPr>
          <w:cnfStyle w:val="100000000000" w:firstRow="1" w:lastRow="0" w:firstColumn="0" w:lastColumn="0" w:oddVBand="0" w:evenVBand="0" w:oddHBand="0" w:evenHBand="0" w:firstRowFirstColumn="0" w:firstRowLastColumn="0" w:lastRowFirstColumn="0" w:lastRowLastColumn="0"/>
        </w:trPr>
        <w:tc>
          <w:tcPr>
            <w:tcW w:w="0" w:type="auto"/>
            <w:vAlign w:val="center"/>
          </w:tcPr>
          <w:p w14:paraId="7E2E9961" w14:textId="5CBF15F9" w:rsidR="007069A0" w:rsidRDefault="002C5B6B" w:rsidP="00BD1C0F">
            <w:pPr>
              <w:rPr>
                <w:b w:val="0"/>
                <w:color w:val="44546A"/>
                <w:sz w:val="24"/>
                <w:szCs w:val="24"/>
              </w:rPr>
            </w:pPr>
            <w:r w:rsidRPr="00BD0741">
              <w:rPr>
                <w:color w:val="44546A"/>
                <w:sz w:val="24"/>
                <w:szCs w:val="24"/>
              </w:rPr>
              <w:t>Program Year</w:t>
            </w:r>
          </w:p>
          <w:p w14:paraId="783C06BA" w14:textId="5F2A8B4B" w:rsidR="002C5B6B" w:rsidRPr="00BD0741" w:rsidRDefault="002C5B6B" w:rsidP="00BD1C0F">
            <w:pPr>
              <w:rPr>
                <w:color w:val="44546A"/>
                <w:sz w:val="24"/>
                <w:szCs w:val="24"/>
              </w:rPr>
            </w:pPr>
            <w:r w:rsidRPr="00BD0741">
              <w:rPr>
                <w:color w:val="44546A"/>
                <w:sz w:val="24"/>
                <w:szCs w:val="24"/>
              </w:rPr>
              <w:t>(Rating Period)</w:t>
            </w:r>
          </w:p>
        </w:tc>
        <w:tc>
          <w:tcPr>
            <w:tcW w:w="0" w:type="auto"/>
            <w:vAlign w:val="center"/>
          </w:tcPr>
          <w:p w14:paraId="31DB18A3" w14:textId="3E481EFB" w:rsidR="002C5B6B" w:rsidRPr="00BD0741" w:rsidRDefault="00975B11" w:rsidP="00BD1C0F">
            <w:pPr>
              <w:rPr>
                <w:color w:val="44546A"/>
                <w:sz w:val="24"/>
                <w:szCs w:val="24"/>
              </w:rPr>
            </w:pPr>
            <w:r w:rsidRPr="00BD0741">
              <w:rPr>
                <w:color w:val="44546A"/>
                <w:sz w:val="24"/>
                <w:szCs w:val="24"/>
              </w:rPr>
              <w:t>Example</w:t>
            </w:r>
            <w:r w:rsidR="00A3547F" w:rsidRPr="00BD0741">
              <w:rPr>
                <w:color w:val="44546A"/>
                <w:sz w:val="24"/>
                <w:szCs w:val="24"/>
              </w:rPr>
              <w:t xml:space="preserve"> </w:t>
            </w:r>
            <w:r w:rsidR="002C5B6B" w:rsidRPr="00BD0741">
              <w:rPr>
                <w:color w:val="44546A"/>
                <w:sz w:val="24"/>
                <w:szCs w:val="24"/>
              </w:rPr>
              <w:t xml:space="preserve">MCO </w:t>
            </w:r>
            <w:r w:rsidR="00151BFA" w:rsidRPr="00BD0741">
              <w:rPr>
                <w:color w:val="44546A"/>
                <w:sz w:val="24"/>
                <w:szCs w:val="24"/>
              </w:rPr>
              <w:t>Metrics</w:t>
            </w:r>
            <w:r w:rsidR="00A3547F" w:rsidRPr="00BD0741">
              <w:rPr>
                <w:color w:val="44546A"/>
                <w:sz w:val="24"/>
                <w:szCs w:val="24"/>
              </w:rPr>
              <w:t xml:space="preserve"> by Year</w:t>
            </w:r>
            <w:r w:rsidRPr="00BD0741">
              <w:rPr>
                <w:rStyle w:val="FootnoteReference"/>
                <w:color w:val="44546A"/>
                <w:sz w:val="24"/>
                <w:szCs w:val="24"/>
              </w:rPr>
              <w:footnoteReference w:id="2"/>
            </w:r>
          </w:p>
        </w:tc>
      </w:tr>
      <w:tr w:rsidR="008C7EE7" w:rsidRPr="00BD0741" w14:paraId="2C0716FB" w14:textId="77777777" w:rsidTr="007069A0">
        <w:tc>
          <w:tcPr>
            <w:tcW w:w="0" w:type="auto"/>
          </w:tcPr>
          <w:p w14:paraId="0AD7EF89" w14:textId="521B8A69" w:rsidR="00B175D4" w:rsidRDefault="002C5B6B" w:rsidP="00BD1C0F">
            <w:pPr>
              <w:jc w:val="center"/>
              <w:rPr>
                <w:color w:val="44546A"/>
                <w:sz w:val="24"/>
                <w:szCs w:val="24"/>
              </w:rPr>
            </w:pPr>
            <w:r w:rsidRPr="00B175D4">
              <w:rPr>
                <w:b/>
                <w:bCs/>
                <w:color w:val="44546A"/>
                <w:sz w:val="24"/>
                <w:szCs w:val="24"/>
              </w:rPr>
              <w:t>Year 1</w:t>
            </w:r>
          </w:p>
          <w:p w14:paraId="72A29DDE" w14:textId="0E9525CD" w:rsidR="002C5B6B" w:rsidRPr="00BD0741" w:rsidRDefault="002C5B6B" w:rsidP="00BD1C0F">
            <w:pPr>
              <w:jc w:val="center"/>
              <w:rPr>
                <w:color w:val="44546A"/>
                <w:sz w:val="24"/>
                <w:szCs w:val="24"/>
              </w:rPr>
            </w:pPr>
            <w:r w:rsidRPr="00BD0741">
              <w:rPr>
                <w:color w:val="44546A"/>
                <w:sz w:val="24"/>
                <w:szCs w:val="24"/>
              </w:rPr>
              <w:t>(September 1, 2024-August 31, 2025)</w:t>
            </w:r>
          </w:p>
        </w:tc>
        <w:tc>
          <w:tcPr>
            <w:tcW w:w="0" w:type="auto"/>
          </w:tcPr>
          <w:p w14:paraId="638F33D9" w14:textId="35B52727" w:rsidR="002C5B6B" w:rsidRPr="00BD0741" w:rsidRDefault="002C5B6B" w:rsidP="00BD1C0F">
            <w:pPr>
              <w:rPr>
                <w:color w:val="44546A"/>
                <w:sz w:val="24"/>
                <w:szCs w:val="24"/>
              </w:rPr>
            </w:pPr>
            <w:r w:rsidRPr="00BD0741">
              <w:rPr>
                <w:color w:val="44546A"/>
                <w:sz w:val="24"/>
                <w:szCs w:val="24"/>
              </w:rPr>
              <w:t xml:space="preserve">Quantified Assessment of Baseline HIE Connectivity </w:t>
            </w:r>
            <w:r w:rsidR="006126AC" w:rsidRPr="00BD0741">
              <w:rPr>
                <w:color w:val="44546A"/>
                <w:sz w:val="24"/>
                <w:szCs w:val="24"/>
              </w:rPr>
              <w:t>and Interoperability</w:t>
            </w:r>
            <w:r w:rsidRPr="00BD0741">
              <w:rPr>
                <w:color w:val="44546A"/>
                <w:sz w:val="24"/>
                <w:szCs w:val="24"/>
              </w:rPr>
              <w:t>, including data by provider class regarding</w:t>
            </w:r>
            <w:r w:rsidR="00E86A97" w:rsidRPr="00BD0741">
              <w:rPr>
                <w:color w:val="44546A"/>
                <w:sz w:val="24"/>
                <w:szCs w:val="24"/>
              </w:rPr>
              <w:t>:</w:t>
            </w:r>
            <w:r w:rsidRPr="00BD0741">
              <w:rPr>
                <w:color w:val="44546A"/>
                <w:sz w:val="24"/>
                <w:szCs w:val="24"/>
              </w:rPr>
              <w:t xml:space="preserve"> </w:t>
            </w:r>
            <w:r w:rsidR="00DA70A7" w:rsidRPr="00BD0741">
              <w:rPr>
                <w:color w:val="44546A"/>
                <w:sz w:val="24"/>
                <w:szCs w:val="24"/>
              </w:rPr>
              <w:t>n</w:t>
            </w:r>
            <w:r w:rsidR="004B77F8" w:rsidRPr="00BD0741">
              <w:rPr>
                <w:color w:val="44546A"/>
                <w:sz w:val="24"/>
                <w:szCs w:val="24"/>
              </w:rPr>
              <w:t>umber</w:t>
            </w:r>
            <w:r w:rsidR="006343C6" w:rsidRPr="00BD0741">
              <w:rPr>
                <w:color w:val="44546A"/>
                <w:sz w:val="24"/>
                <w:szCs w:val="24"/>
              </w:rPr>
              <w:t xml:space="preserve"> and percentage</w:t>
            </w:r>
            <w:r w:rsidR="004B77F8" w:rsidRPr="00BD0741">
              <w:rPr>
                <w:color w:val="44546A"/>
                <w:sz w:val="24"/>
                <w:szCs w:val="24"/>
              </w:rPr>
              <w:t xml:space="preserve"> of MCO</w:t>
            </w:r>
            <w:r w:rsidR="001D2B5B" w:rsidRPr="00BD0741">
              <w:rPr>
                <w:color w:val="44546A"/>
                <w:sz w:val="24"/>
                <w:szCs w:val="24"/>
              </w:rPr>
              <w:t>’</w:t>
            </w:r>
            <w:r w:rsidR="004B77F8" w:rsidRPr="00BD0741">
              <w:rPr>
                <w:color w:val="44546A"/>
                <w:sz w:val="24"/>
                <w:szCs w:val="24"/>
              </w:rPr>
              <w:t xml:space="preserve">s network providers </w:t>
            </w:r>
            <w:r w:rsidR="00C76FDB" w:rsidRPr="00BD0741">
              <w:rPr>
                <w:color w:val="44546A"/>
                <w:sz w:val="24"/>
                <w:szCs w:val="24"/>
              </w:rPr>
              <w:t xml:space="preserve">submitting </w:t>
            </w:r>
            <w:r w:rsidR="001E4E30" w:rsidRPr="00BD0741">
              <w:rPr>
                <w:color w:val="44546A"/>
                <w:sz w:val="24"/>
                <w:szCs w:val="24"/>
              </w:rPr>
              <w:t xml:space="preserve">admit, discharge, transfer (ADT) </w:t>
            </w:r>
            <w:r w:rsidR="00C76FDB" w:rsidRPr="00BD0741">
              <w:rPr>
                <w:color w:val="44546A"/>
                <w:sz w:val="24"/>
                <w:szCs w:val="24"/>
              </w:rPr>
              <w:t xml:space="preserve">data </w:t>
            </w:r>
            <w:r w:rsidR="004B77F8" w:rsidRPr="00BD0741">
              <w:rPr>
                <w:color w:val="44546A"/>
                <w:sz w:val="24"/>
                <w:szCs w:val="24"/>
              </w:rPr>
              <w:t xml:space="preserve">to </w:t>
            </w:r>
            <w:r w:rsidR="000F314E" w:rsidRPr="00BD0741">
              <w:rPr>
                <w:color w:val="44546A"/>
                <w:sz w:val="24"/>
                <w:szCs w:val="24"/>
              </w:rPr>
              <w:t xml:space="preserve">the Medicaid program’s Emergency Department Event Notification </w:t>
            </w:r>
            <w:r w:rsidR="00744007" w:rsidRPr="00BD0741">
              <w:rPr>
                <w:color w:val="44546A"/>
                <w:sz w:val="24"/>
                <w:szCs w:val="24"/>
              </w:rPr>
              <w:t>(</w:t>
            </w:r>
            <w:r w:rsidR="004B77F8" w:rsidRPr="00BD0741">
              <w:rPr>
                <w:color w:val="44546A"/>
                <w:sz w:val="24"/>
                <w:szCs w:val="24"/>
              </w:rPr>
              <w:t>EDEN</w:t>
            </w:r>
            <w:r w:rsidR="00744007" w:rsidRPr="00BD0741">
              <w:rPr>
                <w:color w:val="44546A"/>
                <w:sz w:val="24"/>
                <w:szCs w:val="24"/>
              </w:rPr>
              <w:t>) system through a regional HIE connected to the Texas Health Services Authority (THSA)</w:t>
            </w:r>
            <w:r w:rsidR="0099462E" w:rsidRPr="00BD0741">
              <w:rPr>
                <w:color w:val="44546A"/>
                <w:sz w:val="24"/>
                <w:szCs w:val="24"/>
              </w:rPr>
              <w:t xml:space="preserve"> or </w:t>
            </w:r>
            <w:r w:rsidR="00C248DB" w:rsidRPr="00BD0741">
              <w:rPr>
                <w:color w:val="44546A"/>
                <w:sz w:val="24"/>
                <w:szCs w:val="24"/>
              </w:rPr>
              <w:t xml:space="preserve">through a </w:t>
            </w:r>
            <w:r w:rsidR="0099462E" w:rsidRPr="00BD0741">
              <w:rPr>
                <w:color w:val="44546A"/>
                <w:sz w:val="24"/>
                <w:szCs w:val="24"/>
              </w:rPr>
              <w:t>direct</w:t>
            </w:r>
            <w:r w:rsidR="00C248DB" w:rsidRPr="00BD0741">
              <w:rPr>
                <w:color w:val="44546A"/>
                <w:sz w:val="24"/>
                <w:szCs w:val="24"/>
              </w:rPr>
              <w:t xml:space="preserve"> connection</w:t>
            </w:r>
            <w:r w:rsidR="0099462E" w:rsidRPr="00BD0741">
              <w:rPr>
                <w:color w:val="44546A"/>
                <w:sz w:val="24"/>
                <w:szCs w:val="24"/>
              </w:rPr>
              <w:t xml:space="preserve"> to THSA</w:t>
            </w:r>
            <w:r w:rsidR="00992BEE" w:rsidRPr="00BD0741">
              <w:rPr>
                <w:color w:val="44546A"/>
                <w:sz w:val="24"/>
                <w:szCs w:val="24"/>
              </w:rPr>
              <w:t>;</w:t>
            </w:r>
            <w:r w:rsidR="0074149B" w:rsidRPr="00BD0741">
              <w:rPr>
                <w:color w:val="44546A"/>
                <w:sz w:val="24"/>
                <w:szCs w:val="24"/>
              </w:rPr>
              <w:t xml:space="preserve"> n</w:t>
            </w:r>
            <w:r w:rsidR="00992BEE" w:rsidRPr="00BD0741">
              <w:rPr>
                <w:color w:val="44546A"/>
                <w:sz w:val="24"/>
                <w:szCs w:val="24"/>
              </w:rPr>
              <w:t xml:space="preserve">umber </w:t>
            </w:r>
            <w:r w:rsidR="006343C6" w:rsidRPr="00BD0741">
              <w:rPr>
                <w:color w:val="44546A"/>
                <w:sz w:val="24"/>
                <w:szCs w:val="24"/>
              </w:rPr>
              <w:t xml:space="preserve">and percentage </w:t>
            </w:r>
            <w:r w:rsidR="00992BEE" w:rsidRPr="00BD0741">
              <w:rPr>
                <w:color w:val="44546A"/>
                <w:sz w:val="24"/>
                <w:szCs w:val="24"/>
              </w:rPr>
              <w:t>of MCO</w:t>
            </w:r>
            <w:r w:rsidR="00C76FDB" w:rsidRPr="00BD0741">
              <w:rPr>
                <w:color w:val="44546A"/>
                <w:sz w:val="24"/>
                <w:szCs w:val="24"/>
              </w:rPr>
              <w:t>’</w:t>
            </w:r>
            <w:r w:rsidR="00992BEE" w:rsidRPr="00BD0741">
              <w:rPr>
                <w:color w:val="44546A"/>
                <w:sz w:val="24"/>
                <w:szCs w:val="24"/>
              </w:rPr>
              <w:t>s</w:t>
            </w:r>
            <w:r w:rsidR="00C76FDB" w:rsidRPr="00BD0741">
              <w:rPr>
                <w:color w:val="44546A"/>
                <w:sz w:val="24"/>
                <w:szCs w:val="24"/>
              </w:rPr>
              <w:t xml:space="preserve"> network providers</w:t>
            </w:r>
            <w:r w:rsidR="00992BEE" w:rsidRPr="00BD0741">
              <w:rPr>
                <w:color w:val="44546A"/>
                <w:sz w:val="24"/>
                <w:szCs w:val="24"/>
              </w:rPr>
              <w:t xml:space="preserve"> submitting </w:t>
            </w:r>
            <w:r w:rsidR="00CB0C0E" w:rsidRPr="00BD0741">
              <w:rPr>
                <w:color w:val="44546A"/>
                <w:sz w:val="24"/>
                <w:szCs w:val="24"/>
              </w:rPr>
              <w:t xml:space="preserve">patient </w:t>
            </w:r>
            <w:r w:rsidR="0017042D" w:rsidRPr="00BD0741">
              <w:rPr>
                <w:color w:val="44546A"/>
                <w:sz w:val="24"/>
                <w:szCs w:val="24"/>
              </w:rPr>
              <w:t xml:space="preserve">or </w:t>
            </w:r>
            <w:r w:rsidR="00CB0C0E" w:rsidRPr="00BD0741">
              <w:rPr>
                <w:color w:val="44546A"/>
                <w:sz w:val="24"/>
                <w:szCs w:val="24"/>
              </w:rPr>
              <w:t xml:space="preserve">encounter level </w:t>
            </w:r>
            <w:r w:rsidR="00A4162F" w:rsidRPr="00BD0741">
              <w:rPr>
                <w:color w:val="44546A"/>
                <w:sz w:val="24"/>
                <w:szCs w:val="24"/>
              </w:rPr>
              <w:t xml:space="preserve">Consolidated </w:t>
            </w:r>
            <w:r w:rsidR="00992BEE" w:rsidRPr="00BD0741">
              <w:rPr>
                <w:color w:val="44546A"/>
                <w:sz w:val="24"/>
                <w:szCs w:val="24"/>
              </w:rPr>
              <w:t>Clinical Document Architecture</w:t>
            </w:r>
            <w:r w:rsidR="00A4162F" w:rsidRPr="00BD0741">
              <w:rPr>
                <w:color w:val="44546A"/>
                <w:sz w:val="24"/>
                <w:szCs w:val="24"/>
              </w:rPr>
              <w:t xml:space="preserve"> (CCDA)</w:t>
            </w:r>
            <w:r w:rsidR="00992BEE" w:rsidRPr="00BD0741">
              <w:rPr>
                <w:color w:val="44546A"/>
                <w:sz w:val="24"/>
                <w:szCs w:val="24"/>
              </w:rPr>
              <w:t xml:space="preserve"> data</w:t>
            </w:r>
            <w:r w:rsidR="00235340" w:rsidRPr="00BD0741">
              <w:rPr>
                <w:color w:val="44546A"/>
                <w:sz w:val="24"/>
                <w:szCs w:val="24"/>
              </w:rPr>
              <w:t xml:space="preserve"> </w:t>
            </w:r>
            <w:r w:rsidR="008467B1" w:rsidRPr="00BD0741">
              <w:rPr>
                <w:color w:val="44546A"/>
                <w:sz w:val="24"/>
                <w:szCs w:val="24"/>
              </w:rPr>
              <w:t xml:space="preserve">to a regional HIE or </w:t>
            </w:r>
            <w:r w:rsidR="00235340" w:rsidRPr="00BD0741">
              <w:rPr>
                <w:color w:val="44546A"/>
                <w:sz w:val="24"/>
                <w:szCs w:val="24"/>
              </w:rPr>
              <w:t>via a national network</w:t>
            </w:r>
            <w:r w:rsidR="008467B1" w:rsidRPr="00BD0741">
              <w:rPr>
                <w:color w:val="44546A"/>
                <w:sz w:val="24"/>
                <w:szCs w:val="24"/>
              </w:rPr>
              <w:t xml:space="preserve">; </w:t>
            </w:r>
            <w:r w:rsidR="007F48BC" w:rsidRPr="00BD0741">
              <w:rPr>
                <w:color w:val="44546A"/>
                <w:sz w:val="24"/>
                <w:szCs w:val="24"/>
              </w:rPr>
              <w:t>status of MCO</w:t>
            </w:r>
            <w:r w:rsidR="0074149B" w:rsidRPr="00BD0741">
              <w:rPr>
                <w:color w:val="44546A"/>
                <w:sz w:val="24"/>
                <w:szCs w:val="24"/>
              </w:rPr>
              <w:t>’</w:t>
            </w:r>
            <w:r w:rsidR="007F48BC" w:rsidRPr="00BD0741">
              <w:rPr>
                <w:color w:val="44546A"/>
                <w:sz w:val="24"/>
                <w:szCs w:val="24"/>
              </w:rPr>
              <w:t xml:space="preserve">s connections or subscriptions to EDEN, </w:t>
            </w:r>
            <w:r w:rsidR="00DE0656" w:rsidRPr="00BD0741">
              <w:rPr>
                <w:color w:val="44546A"/>
                <w:sz w:val="24"/>
                <w:szCs w:val="24"/>
              </w:rPr>
              <w:t xml:space="preserve">regional </w:t>
            </w:r>
            <w:r w:rsidR="00371E22" w:rsidRPr="00BD0741">
              <w:rPr>
                <w:color w:val="44546A"/>
                <w:sz w:val="24"/>
                <w:szCs w:val="24"/>
              </w:rPr>
              <w:t>HIEs</w:t>
            </w:r>
            <w:r w:rsidR="00DE0656" w:rsidRPr="00BD0741">
              <w:rPr>
                <w:color w:val="44546A"/>
                <w:sz w:val="24"/>
                <w:szCs w:val="24"/>
              </w:rPr>
              <w:t>, o</w:t>
            </w:r>
            <w:r w:rsidR="005F3835" w:rsidRPr="00BD0741">
              <w:rPr>
                <w:color w:val="44546A"/>
                <w:sz w:val="24"/>
                <w:szCs w:val="24"/>
              </w:rPr>
              <w:t xml:space="preserve">r national </w:t>
            </w:r>
            <w:r w:rsidR="00371E22" w:rsidRPr="00BD0741">
              <w:rPr>
                <w:color w:val="44546A"/>
                <w:sz w:val="24"/>
                <w:szCs w:val="24"/>
              </w:rPr>
              <w:t xml:space="preserve">HIE </w:t>
            </w:r>
            <w:r w:rsidR="005F3835" w:rsidRPr="00BD0741">
              <w:rPr>
                <w:color w:val="44546A"/>
                <w:sz w:val="24"/>
                <w:szCs w:val="24"/>
              </w:rPr>
              <w:t>networks</w:t>
            </w:r>
            <w:r w:rsidR="001C6DFF" w:rsidRPr="00BD0741">
              <w:rPr>
                <w:color w:val="44546A"/>
                <w:sz w:val="24"/>
                <w:szCs w:val="24"/>
              </w:rPr>
              <w:t xml:space="preserve">; </w:t>
            </w:r>
            <w:r w:rsidR="00FE05AA" w:rsidRPr="00BD0741">
              <w:rPr>
                <w:color w:val="44546A"/>
                <w:sz w:val="24"/>
                <w:szCs w:val="24"/>
              </w:rPr>
              <w:t xml:space="preserve">number </w:t>
            </w:r>
            <w:r w:rsidR="008E04F3" w:rsidRPr="00BD0741">
              <w:rPr>
                <w:color w:val="44546A"/>
                <w:sz w:val="24"/>
                <w:szCs w:val="24"/>
              </w:rPr>
              <w:t xml:space="preserve">of </w:t>
            </w:r>
            <w:r w:rsidR="006A0F07" w:rsidRPr="00BD0741">
              <w:rPr>
                <w:color w:val="44546A"/>
                <w:sz w:val="24"/>
                <w:szCs w:val="24"/>
              </w:rPr>
              <w:t xml:space="preserve">ADT notices </w:t>
            </w:r>
            <w:r w:rsidR="001246FF" w:rsidRPr="00BD0741">
              <w:rPr>
                <w:color w:val="44546A"/>
                <w:sz w:val="24"/>
                <w:szCs w:val="24"/>
              </w:rPr>
              <w:t xml:space="preserve">received by the MCO </w:t>
            </w:r>
            <w:r w:rsidR="001C6DFF" w:rsidRPr="00BD0741">
              <w:rPr>
                <w:color w:val="44546A"/>
                <w:sz w:val="24"/>
                <w:szCs w:val="24"/>
              </w:rPr>
              <w:t xml:space="preserve">and a qualitative </w:t>
            </w:r>
            <w:r w:rsidR="006B77E8" w:rsidRPr="00BD0741">
              <w:rPr>
                <w:color w:val="44546A"/>
                <w:sz w:val="24"/>
                <w:szCs w:val="24"/>
              </w:rPr>
              <w:t xml:space="preserve">description of how the MCO is using these connections or subscriptions </w:t>
            </w:r>
            <w:r w:rsidR="004B2023" w:rsidRPr="00BD0741">
              <w:rPr>
                <w:color w:val="44546A"/>
                <w:sz w:val="24"/>
                <w:szCs w:val="24"/>
              </w:rPr>
              <w:t xml:space="preserve">to improve quality of care, </w:t>
            </w:r>
            <w:r w:rsidR="003A193C" w:rsidRPr="00BD0741">
              <w:rPr>
                <w:color w:val="44546A"/>
                <w:sz w:val="24"/>
                <w:szCs w:val="24"/>
              </w:rPr>
              <w:t>implement digital quality measurement</w:t>
            </w:r>
            <w:r w:rsidR="001F5620" w:rsidRPr="00BD0741">
              <w:rPr>
                <w:color w:val="44546A"/>
                <w:sz w:val="24"/>
                <w:szCs w:val="24"/>
              </w:rPr>
              <w:t>, support value-based care and payment strategies</w:t>
            </w:r>
            <w:r w:rsidR="005E4B1A" w:rsidRPr="00BD0741">
              <w:rPr>
                <w:color w:val="44546A"/>
                <w:sz w:val="24"/>
                <w:szCs w:val="24"/>
              </w:rPr>
              <w:t xml:space="preserve">, or other </w:t>
            </w:r>
            <w:r w:rsidR="006459B6" w:rsidRPr="00BD0741">
              <w:rPr>
                <w:color w:val="44546A"/>
                <w:sz w:val="24"/>
                <w:szCs w:val="24"/>
              </w:rPr>
              <w:t>relevant actions</w:t>
            </w:r>
            <w:r w:rsidR="00E65021" w:rsidRPr="00BD0741">
              <w:rPr>
                <w:color w:val="44546A"/>
                <w:sz w:val="24"/>
                <w:szCs w:val="24"/>
              </w:rPr>
              <w:t xml:space="preserve">; </w:t>
            </w:r>
            <w:r w:rsidR="00BF4046" w:rsidRPr="00BD0741">
              <w:rPr>
                <w:color w:val="44546A"/>
                <w:sz w:val="24"/>
                <w:szCs w:val="24"/>
              </w:rPr>
              <w:t xml:space="preserve">and </w:t>
            </w:r>
            <w:r w:rsidR="00EB0186" w:rsidRPr="00BD0741">
              <w:rPr>
                <w:color w:val="44546A"/>
                <w:sz w:val="24"/>
                <w:szCs w:val="24"/>
              </w:rPr>
              <w:t xml:space="preserve">description of </w:t>
            </w:r>
            <w:r w:rsidR="00BF4046" w:rsidRPr="00BD0741">
              <w:rPr>
                <w:color w:val="44546A"/>
                <w:sz w:val="24"/>
                <w:szCs w:val="24"/>
              </w:rPr>
              <w:t>MCO</w:t>
            </w:r>
            <w:r w:rsidR="009E3AF9" w:rsidRPr="00BD0741">
              <w:rPr>
                <w:color w:val="44546A"/>
                <w:sz w:val="24"/>
                <w:szCs w:val="24"/>
              </w:rPr>
              <w:t>’s</w:t>
            </w:r>
            <w:r w:rsidR="00BF4046" w:rsidRPr="00BD0741">
              <w:rPr>
                <w:color w:val="44546A"/>
                <w:sz w:val="24"/>
                <w:szCs w:val="24"/>
              </w:rPr>
              <w:t xml:space="preserve"> activities to</w:t>
            </w:r>
            <w:r w:rsidR="009E3AF9" w:rsidRPr="00BD0741">
              <w:rPr>
                <w:color w:val="44546A"/>
                <w:sz w:val="24"/>
                <w:szCs w:val="24"/>
              </w:rPr>
              <w:t xml:space="preserve"> engage and educat</w:t>
            </w:r>
            <w:r w:rsidR="00B5476C" w:rsidRPr="00BD0741">
              <w:rPr>
                <w:color w:val="44546A"/>
                <w:sz w:val="24"/>
                <w:szCs w:val="24"/>
              </w:rPr>
              <w:t>e</w:t>
            </w:r>
            <w:r w:rsidR="009E3AF9" w:rsidRPr="00BD0741">
              <w:rPr>
                <w:color w:val="44546A"/>
                <w:sz w:val="24"/>
                <w:szCs w:val="24"/>
              </w:rPr>
              <w:t xml:space="preserve"> network providers on this 438.6(b) program.</w:t>
            </w:r>
            <w:r w:rsidR="00B5476C" w:rsidRPr="00BD0741" w:rsidDel="00E65021">
              <w:rPr>
                <w:color w:val="44546A"/>
                <w:sz w:val="24"/>
                <w:szCs w:val="24"/>
              </w:rPr>
              <w:t xml:space="preserve"> </w:t>
            </w:r>
          </w:p>
        </w:tc>
      </w:tr>
      <w:tr w:rsidR="008C7EE7" w:rsidRPr="00BD0741" w14:paraId="29344CF1" w14:textId="77777777" w:rsidTr="007069A0">
        <w:tc>
          <w:tcPr>
            <w:tcW w:w="0" w:type="auto"/>
          </w:tcPr>
          <w:p w14:paraId="3161F8EF" w14:textId="0599C181" w:rsidR="00FA0A98" w:rsidRDefault="002C5B6B" w:rsidP="00BD1C0F">
            <w:pPr>
              <w:jc w:val="center"/>
              <w:rPr>
                <w:color w:val="44546A"/>
                <w:sz w:val="24"/>
                <w:szCs w:val="24"/>
              </w:rPr>
            </w:pPr>
            <w:r w:rsidRPr="00FA0A98">
              <w:rPr>
                <w:b/>
                <w:bCs/>
                <w:color w:val="44546A"/>
                <w:sz w:val="24"/>
                <w:szCs w:val="24"/>
              </w:rPr>
              <w:t>Year 2</w:t>
            </w:r>
          </w:p>
          <w:p w14:paraId="27095A80" w14:textId="17DA6BB0" w:rsidR="002C5B6B" w:rsidRPr="00BD0741" w:rsidRDefault="002C5B6B" w:rsidP="00BD1C0F">
            <w:pPr>
              <w:jc w:val="center"/>
              <w:rPr>
                <w:color w:val="44546A"/>
                <w:sz w:val="24"/>
                <w:szCs w:val="24"/>
              </w:rPr>
            </w:pPr>
            <w:r w:rsidRPr="00BD0741">
              <w:rPr>
                <w:color w:val="44546A"/>
                <w:sz w:val="24"/>
                <w:szCs w:val="24"/>
              </w:rPr>
              <w:t>(September 1, 2025-August 31, 2026)</w:t>
            </w:r>
          </w:p>
        </w:tc>
        <w:tc>
          <w:tcPr>
            <w:tcW w:w="0" w:type="auto"/>
          </w:tcPr>
          <w:p w14:paraId="2CE1A6A2" w14:textId="456F156E" w:rsidR="002C5B6B" w:rsidRPr="00BD0741" w:rsidRDefault="00ED6A0E" w:rsidP="00BD1C0F">
            <w:pPr>
              <w:rPr>
                <w:color w:val="44546A"/>
                <w:sz w:val="24"/>
                <w:szCs w:val="24"/>
              </w:rPr>
            </w:pPr>
            <w:r w:rsidRPr="00BD0741">
              <w:rPr>
                <w:color w:val="44546A"/>
                <w:sz w:val="24"/>
                <w:szCs w:val="24"/>
              </w:rPr>
              <w:t>Increase over baselines established in year 1</w:t>
            </w:r>
            <w:r w:rsidR="009352B8" w:rsidRPr="00BD0741">
              <w:rPr>
                <w:color w:val="44546A"/>
                <w:sz w:val="24"/>
                <w:szCs w:val="24"/>
              </w:rPr>
              <w:t xml:space="preserve"> on all measures by class – targets set based on class</w:t>
            </w:r>
            <w:r w:rsidR="006343C6" w:rsidRPr="00BD0741">
              <w:rPr>
                <w:color w:val="44546A"/>
                <w:sz w:val="24"/>
                <w:szCs w:val="24"/>
              </w:rPr>
              <w:t xml:space="preserve">; </w:t>
            </w:r>
            <w:r w:rsidR="001D2B5B" w:rsidRPr="00BD0741">
              <w:rPr>
                <w:color w:val="44546A"/>
                <w:sz w:val="24"/>
                <w:szCs w:val="24"/>
              </w:rPr>
              <w:t>metrics</w:t>
            </w:r>
            <w:r w:rsidR="006343C6" w:rsidRPr="00BD0741">
              <w:rPr>
                <w:color w:val="44546A"/>
                <w:sz w:val="24"/>
                <w:szCs w:val="24"/>
              </w:rPr>
              <w:t xml:space="preserve"> of the timeliness of data transmission by in-network providers and </w:t>
            </w:r>
            <w:r w:rsidR="00D27F07" w:rsidRPr="00BD0741">
              <w:rPr>
                <w:color w:val="44546A"/>
                <w:sz w:val="24"/>
                <w:szCs w:val="24"/>
              </w:rPr>
              <w:t xml:space="preserve">receipt by </w:t>
            </w:r>
            <w:r w:rsidR="006343C6" w:rsidRPr="00BD0741">
              <w:rPr>
                <w:color w:val="44546A"/>
                <w:sz w:val="24"/>
                <w:szCs w:val="24"/>
              </w:rPr>
              <w:t>MCOs related to ADT and CCDA data</w:t>
            </w:r>
            <w:r w:rsidR="001D2B5B" w:rsidRPr="00BD0741">
              <w:rPr>
                <w:color w:val="44546A"/>
                <w:sz w:val="24"/>
                <w:szCs w:val="24"/>
              </w:rPr>
              <w:t>, including MCO identifying criteria for further action</w:t>
            </w:r>
            <w:r w:rsidR="006343C6" w:rsidRPr="00BD0741">
              <w:rPr>
                <w:color w:val="44546A"/>
                <w:sz w:val="24"/>
                <w:szCs w:val="24"/>
              </w:rPr>
              <w:t>.</w:t>
            </w:r>
          </w:p>
        </w:tc>
      </w:tr>
      <w:tr w:rsidR="008C7EE7" w:rsidRPr="00BD0741" w14:paraId="2626821F" w14:textId="77777777" w:rsidTr="007069A0">
        <w:tc>
          <w:tcPr>
            <w:tcW w:w="0" w:type="auto"/>
          </w:tcPr>
          <w:p w14:paraId="54B82096" w14:textId="76A11FCB" w:rsidR="00FA0A98" w:rsidRDefault="002C5B6B" w:rsidP="00BD1C0F">
            <w:pPr>
              <w:jc w:val="center"/>
              <w:rPr>
                <w:color w:val="44546A"/>
                <w:sz w:val="24"/>
                <w:szCs w:val="24"/>
              </w:rPr>
            </w:pPr>
            <w:r w:rsidRPr="00FA0A98">
              <w:rPr>
                <w:b/>
                <w:bCs/>
                <w:color w:val="44546A"/>
                <w:sz w:val="24"/>
                <w:szCs w:val="24"/>
              </w:rPr>
              <w:lastRenderedPageBreak/>
              <w:t>Year 3</w:t>
            </w:r>
          </w:p>
          <w:p w14:paraId="567871F9" w14:textId="1697B2EE" w:rsidR="002C5B6B" w:rsidRPr="00BD0741" w:rsidRDefault="002C5B6B" w:rsidP="00BD1C0F">
            <w:pPr>
              <w:jc w:val="center"/>
              <w:rPr>
                <w:color w:val="44546A"/>
                <w:sz w:val="24"/>
                <w:szCs w:val="24"/>
              </w:rPr>
            </w:pPr>
            <w:r w:rsidRPr="00BD0741">
              <w:rPr>
                <w:color w:val="44546A"/>
                <w:sz w:val="24"/>
                <w:szCs w:val="24"/>
              </w:rPr>
              <w:t>(September 1, 2026-August 31, 2027)</w:t>
            </w:r>
          </w:p>
        </w:tc>
        <w:tc>
          <w:tcPr>
            <w:tcW w:w="0" w:type="auto"/>
          </w:tcPr>
          <w:p w14:paraId="65B92EAD" w14:textId="10EE3391" w:rsidR="002C5B6B" w:rsidRPr="00BD0741" w:rsidRDefault="007D3635" w:rsidP="00BD1C0F">
            <w:pPr>
              <w:rPr>
                <w:color w:val="44546A"/>
                <w:sz w:val="24"/>
                <w:szCs w:val="24"/>
              </w:rPr>
            </w:pPr>
            <w:r w:rsidRPr="00BD0741">
              <w:rPr>
                <w:color w:val="44546A"/>
                <w:sz w:val="24"/>
                <w:szCs w:val="24"/>
              </w:rPr>
              <w:t xml:space="preserve">Increase over previous year achievement levels on all measures by </w:t>
            </w:r>
            <w:r w:rsidR="006343C6" w:rsidRPr="00BD0741">
              <w:rPr>
                <w:color w:val="44546A"/>
                <w:sz w:val="24"/>
                <w:szCs w:val="24"/>
              </w:rPr>
              <w:t xml:space="preserve">in-network </w:t>
            </w:r>
            <w:r w:rsidRPr="00BD0741">
              <w:rPr>
                <w:color w:val="44546A"/>
                <w:sz w:val="24"/>
                <w:szCs w:val="24"/>
              </w:rPr>
              <w:t>class;</w:t>
            </w:r>
            <w:r w:rsidR="006343C6" w:rsidRPr="00BD0741">
              <w:rPr>
                <w:color w:val="44546A"/>
                <w:sz w:val="24"/>
                <w:szCs w:val="24"/>
              </w:rPr>
              <w:t xml:space="preserve"> </w:t>
            </w:r>
            <w:r w:rsidR="001D2B5B" w:rsidRPr="00BD0741">
              <w:rPr>
                <w:color w:val="44546A"/>
                <w:sz w:val="24"/>
                <w:szCs w:val="24"/>
              </w:rPr>
              <w:t>establish</w:t>
            </w:r>
            <w:r w:rsidR="006343C6" w:rsidRPr="00BD0741">
              <w:rPr>
                <w:color w:val="44546A"/>
                <w:sz w:val="24"/>
                <w:szCs w:val="24"/>
              </w:rPr>
              <w:t xml:space="preserve"> baselines for the number and percentage of birth</w:t>
            </w:r>
            <w:r w:rsidR="00834B05" w:rsidRPr="00BD0741">
              <w:rPr>
                <w:color w:val="44546A"/>
                <w:sz w:val="24"/>
                <w:szCs w:val="24"/>
              </w:rPr>
              <w:t xml:space="preserve"> or delivery</w:t>
            </w:r>
            <w:r w:rsidR="006343C6" w:rsidRPr="00BD0741">
              <w:rPr>
                <w:color w:val="44546A"/>
                <w:sz w:val="24"/>
                <w:szCs w:val="24"/>
              </w:rPr>
              <w:t xml:space="preserve"> event notices received by MCO within </w:t>
            </w:r>
            <w:r w:rsidR="001767A8" w:rsidRPr="00BD0741">
              <w:rPr>
                <w:color w:val="44546A"/>
                <w:sz w:val="24"/>
                <w:szCs w:val="24"/>
              </w:rPr>
              <w:t>48</w:t>
            </w:r>
            <w:r w:rsidR="006343C6" w:rsidRPr="00BD0741">
              <w:rPr>
                <w:color w:val="44546A"/>
                <w:sz w:val="24"/>
                <w:szCs w:val="24"/>
              </w:rPr>
              <w:t xml:space="preserve"> hours by network provider class</w:t>
            </w:r>
            <w:r w:rsidR="00145624" w:rsidRPr="00BD0741">
              <w:rPr>
                <w:color w:val="44546A"/>
                <w:sz w:val="24"/>
                <w:szCs w:val="24"/>
              </w:rPr>
              <w:t xml:space="preserve"> and flagged for follow-up</w:t>
            </w:r>
            <w:r w:rsidR="006343C6" w:rsidRPr="00BD0741">
              <w:rPr>
                <w:color w:val="44546A"/>
                <w:sz w:val="24"/>
                <w:szCs w:val="24"/>
              </w:rPr>
              <w:t xml:space="preserve">; number and percentage of ADT notification for Medicaid patients identified </w:t>
            </w:r>
            <w:r w:rsidR="00145624" w:rsidRPr="00BD0741">
              <w:rPr>
                <w:color w:val="44546A"/>
                <w:sz w:val="24"/>
                <w:szCs w:val="24"/>
              </w:rPr>
              <w:t xml:space="preserve">with </w:t>
            </w:r>
            <w:r w:rsidR="006343C6" w:rsidRPr="00BD0741">
              <w:rPr>
                <w:color w:val="44546A"/>
                <w:sz w:val="24"/>
                <w:szCs w:val="24"/>
              </w:rPr>
              <w:t xml:space="preserve">mental health-related admission criteria and </w:t>
            </w:r>
            <w:r w:rsidR="00361044" w:rsidRPr="00BD0741">
              <w:rPr>
                <w:color w:val="44546A"/>
                <w:sz w:val="24"/>
                <w:szCs w:val="24"/>
              </w:rPr>
              <w:t>flagged</w:t>
            </w:r>
            <w:r w:rsidR="006343C6" w:rsidRPr="00BD0741">
              <w:rPr>
                <w:color w:val="44546A"/>
                <w:sz w:val="24"/>
                <w:szCs w:val="24"/>
              </w:rPr>
              <w:t xml:space="preserve"> for follow up by network provider class.</w:t>
            </w:r>
          </w:p>
        </w:tc>
      </w:tr>
      <w:tr w:rsidR="008C7EE7" w:rsidRPr="00BD0741" w14:paraId="1800DCE8" w14:textId="77777777" w:rsidTr="007069A0">
        <w:tc>
          <w:tcPr>
            <w:tcW w:w="0" w:type="auto"/>
          </w:tcPr>
          <w:p w14:paraId="0CBD0E58" w14:textId="1E4D95DA" w:rsidR="00FA0A98" w:rsidRDefault="002C5B6B" w:rsidP="00BD1C0F">
            <w:pPr>
              <w:jc w:val="center"/>
              <w:rPr>
                <w:color w:val="44546A"/>
                <w:sz w:val="24"/>
                <w:szCs w:val="24"/>
              </w:rPr>
            </w:pPr>
            <w:r w:rsidRPr="00FA0A98">
              <w:rPr>
                <w:b/>
                <w:bCs/>
                <w:color w:val="44546A"/>
                <w:sz w:val="24"/>
                <w:szCs w:val="24"/>
              </w:rPr>
              <w:t>Year 4</w:t>
            </w:r>
          </w:p>
          <w:p w14:paraId="2E5AA8C5" w14:textId="36C70950" w:rsidR="002C5B6B" w:rsidRPr="00BD0741" w:rsidRDefault="002C5B6B" w:rsidP="00BD1C0F">
            <w:pPr>
              <w:jc w:val="center"/>
              <w:rPr>
                <w:color w:val="44546A"/>
                <w:sz w:val="24"/>
                <w:szCs w:val="24"/>
              </w:rPr>
            </w:pPr>
            <w:r w:rsidRPr="00BD0741">
              <w:rPr>
                <w:color w:val="44546A"/>
                <w:sz w:val="24"/>
                <w:szCs w:val="24"/>
              </w:rPr>
              <w:t>(September 1, 2028-August 31, 2029)</w:t>
            </w:r>
          </w:p>
        </w:tc>
        <w:tc>
          <w:tcPr>
            <w:tcW w:w="0" w:type="auto"/>
          </w:tcPr>
          <w:p w14:paraId="6709484F" w14:textId="1D7E7967" w:rsidR="002C5B6B" w:rsidRPr="00BD0741" w:rsidRDefault="006343C6" w:rsidP="00BD1C0F">
            <w:pPr>
              <w:rPr>
                <w:color w:val="44546A"/>
                <w:sz w:val="24"/>
                <w:szCs w:val="24"/>
              </w:rPr>
            </w:pPr>
            <w:r w:rsidRPr="00BD0741">
              <w:rPr>
                <w:color w:val="44546A"/>
                <w:sz w:val="24"/>
                <w:szCs w:val="24"/>
              </w:rPr>
              <w:t>Increase over previous year achievement levels on all measures by in-network class; establish a baseline for number and percentage of networked ambulatory clinics receiving ADT notification from</w:t>
            </w:r>
            <w:r w:rsidR="001D2B5B" w:rsidRPr="00BD0741">
              <w:rPr>
                <w:color w:val="44546A"/>
                <w:sz w:val="24"/>
                <w:szCs w:val="24"/>
              </w:rPr>
              <w:t xml:space="preserve"> the MCO</w:t>
            </w:r>
            <w:r w:rsidRPr="00BD0741">
              <w:rPr>
                <w:color w:val="44546A"/>
                <w:sz w:val="24"/>
                <w:szCs w:val="24"/>
              </w:rPr>
              <w:t xml:space="preserve">; increase rate of timeliness of post-partum contraceptive care; Increase rate of follow-up after hospitalization for mental illness (FUH) in 7 days; </w:t>
            </w:r>
            <w:r w:rsidR="001D2B5B" w:rsidRPr="00BD0741">
              <w:rPr>
                <w:color w:val="44546A"/>
                <w:sz w:val="24"/>
                <w:szCs w:val="24"/>
              </w:rPr>
              <w:t>i</w:t>
            </w:r>
            <w:r w:rsidRPr="00BD0741">
              <w:rPr>
                <w:color w:val="44546A"/>
                <w:sz w:val="24"/>
                <w:szCs w:val="24"/>
              </w:rPr>
              <w:t xml:space="preserve">ncrease rate of follow-up after </w:t>
            </w:r>
            <w:r w:rsidR="00A4162F" w:rsidRPr="00BD0741">
              <w:rPr>
                <w:color w:val="44546A"/>
                <w:sz w:val="24"/>
                <w:szCs w:val="24"/>
              </w:rPr>
              <w:t xml:space="preserve">Emergency Department </w:t>
            </w:r>
            <w:r w:rsidR="00C76FDB" w:rsidRPr="00BD0741">
              <w:rPr>
                <w:color w:val="44546A"/>
                <w:sz w:val="24"/>
                <w:szCs w:val="24"/>
              </w:rPr>
              <w:t>(</w:t>
            </w:r>
            <w:r w:rsidRPr="00BD0741">
              <w:rPr>
                <w:color w:val="44546A"/>
                <w:sz w:val="24"/>
                <w:szCs w:val="24"/>
              </w:rPr>
              <w:t>ED</w:t>
            </w:r>
            <w:r w:rsidR="00C76FDB" w:rsidRPr="00BD0741">
              <w:rPr>
                <w:color w:val="44546A"/>
                <w:sz w:val="24"/>
                <w:szCs w:val="24"/>
              </w:rPr>
              <w:t>)</w:t>
            </w:r>
            <w:r w:rsidRPr="00BD0741">
              <w:rPr>
                <w:color w:val="44546A"/>
                <w:sz w:val="24"/>
                <w:szCs w:val="24"/>
              </w:rPr>
              <w:t xml:space="preserve"> Visit for Mental Illness (FUM) in 7 days</w:t>
            </w:r>
            <w:r w:rsidR="00235340" w:rsidRPr="00BD0741">
              <w:rPr>
                <w:color w:val="44546A"/>
                <w:sz w:val="24"/>
                <w:szCs w:val="24"/>
              </w:rPr>
              <w:t>.</w:t>
            </w:r>
          </w:p>
        </w:tc>
      </w:tr>
      <w:tr w:rsidR="008C7EE7" w:rsidRPr="00BD0741" w14:paraId="7227214D" w14:textId="77777777" w:rsidTr="007069A0">
        <w:tc>
          <w:tcPr>
            <w:tcW w:w="0" w:type="auto"/>
          </w:tcPr>
          <w:p w14:paraId="50792209" w14:textId="217A7D47" w:rsidR="00FA0A98" w:rsidRDefault="002C5B6B" w:rsidP="00BD1C0F">
            <w:pPr>
              <w:jc w:val="center"/>
              <w:rPr>
                <w:color w:val="44546A"/>
                <w:sz w:val="24"/>
                <w:szCs w:val="24"/>
              </w:rPr>
            </w:pPr>
            <w:r w:rsidRPr="00FA0A98">
              <w:rPr>
                <w:b/>
                <w:bCs/>
                <w:color w:val="44546A"/>
                <w:sz w:val="24"/>
                <w:szCs w:val="24"/>
              </w:rPr>
              <w:t>Year 5</w:t>
            </w:r>
          </w:p>
          <w:p w14:paraId="74277C7B" w14:textId="4BDBF5FF" w:rsidR="002C5B6B" w:rsidRPr="00BD0741" w:rsidRDefault="002C5B6B" w:rsidP="00BD1C0F">
            <w:pPr>
              <w:jc w:val="center"/>
              <w:rPr>
                <w:color w:val="44546A"/>
                <w:sz w:val="24"/>
                <w:szCs w:val="24"/>
              </w:rPr>
            </w:pPr>
            <w:r w:rsidRPr="00BD0741">
              <w:rPr>
                <w:color w:val="44546A"/>
                <w:sz w:val="24"/>
                <w:szCs w:val="24"/>
              </w:rPr>
              <w:t>(September 1, 2029-August 31, 2030)</w:t>
            </w:r>
          </w:p>
        </w:tc>
        <w:tc>
          <w:tcPr>
            <w:tcW w:w="0" w:type="auto"/>
          </w:tcPr>
          <w:p w14:paraId="29DF7079" w14:textId="3D144E42" w:rsidR="002C5B6B" w:rsidRPr="00BD0741" w:rsidRDefault="00AC0400" w:rsidP="00BD1C0F">
            <w:pPr>
              <w:rPr>
                <w:color w:val="44546A"/>
                <w:sz w:val="24"/>
                <w:szCs w:val="24"/>
              </w:rPr>
            </w:pPr>
            <w:r w:rsidRPr="00BD0741">
              <w:rPr>
                <w:color w:val="44546A"/>
                <w:sz w:val="24"/>
                <w:szCs w:val="24"/>
              </w:rPr>
              <w:t>Reduce the p</w:t>
            </w:r>
            <w:r w:rsidR="00C86747" w:rsidRPr="00BD0741">
              <w:rPr>
                <w:color w:val="44546A"/>
                <w:sz w:val="24"/>
                <w:szCs w:val="24"/>
              </w:rPr>
              <w:t xml:space="preserve">ercentage of </w:t>
            </w:r>
            <w:r w:rsidR="00160F66" w:rsidRPr="00BD0741">
              <w:rPr>
                <w:color w:val="44546A"/>
                <w:sz w:val="24"/>
                <w:szCs w:val="24"/>
              </w:rPr>
              <w:t xml:space="preserve">total enrollees on MCO panels with </w:t>
            </w:r>
            <w:r w:rsidR="007748C1" w:rsidRPr="00BD0741">
              <w:rPr>
                <w:color w:val="44546A"/>
                <w:sz w:val="24"/>
                <w:szCs w:val="24"/>
              </w:rPr>
              <w:t>five</w:t>
            </w:r>
            <w:r w:rsidR="00160F66" w:rsidRPr="00BD0741">
              <w:rPr>
                <w:color w:val="44546A"/>
                <w:sz w:val="24"/>
                <w:szCs w:val="24"/>
              </w:rPr>
              <w:t xml:space="preserve"> or more emergency department visits in </w:t>
            </w:r>
            <w:r w:rsidRPr="00BD0741">
              <w:rPr>
                <w:color w:val="44546A"/>
                <w:sz w:val="24"/>
                <w:szCs w:val="24"/>
              </w:rPr>
              <w:t>a year</w:t>
            </w:r>
            <w:r w:rsidR="006343C6" w:rsidRPr="00BD0741">
              <w:rPr>
                <w:color w:val="44546A"/>
                <w:sz w:val="24"/>
                <w:szCs w:val="24"/>
              </w:rPr>
              <w:t xml:space="preserve">; reduce </w:t>
            </w:r>
            <w:r w:rsidR="00EE0F0B" w:rsidRPr="00BD0741">
              <w:rPr>
                <w:color w:val="44546A"/>
                <w:sz w:val="24"/>
                <w:szCs w:val="24"/>
              </w:rPr>
              <w:t xml:space="preserve">the </w:t>
            </w:r>
            <w:r w:rsidR="0017557A" w:rsidRPr="00BD0741">
              <w:rPr>
                <w:color w:val="44546A"/>
                <w:sz w:val="24"/>
                <w:szCs w:val="24"/>
              </w:rPr>
              <w:t xml:space="preserve">rate per MCO enrollees for </w:t>
            </w:r>
            <w:r w:rsidR="006343C6" w:rsidRPr="00BD0741">
              <w:rPr>
                <w:color w:val="44546A"/>
                <w:sz w:val="24"/>
                <w:szCs w:val="24"/>
              </w:rPr>
              <w:t>avoidable ED and hospital admissio</w:t>
            </w:r>
            <w:r w:rsidR="00EE0F0B" w:rsidRPr="00BD0741">
              <w:rPr>
                <w:color w:val="44546A"/>
                <w:sz w:val="24"/>
                <w:szCs w:val="24"/>
              </w:rPr>
              <w:t>n</w:t>
            </w:r>
            <w:r w:rsidR="0017042D" w:rsidRPr="00BD0741">
              <w:rPr>
                <w:color w:val="44546A"/>
                <w:sz w:val="24"/>
                <w:szCs w:val="24"/>
              </w:rPr>
              <w:t>s</w:t>
            </w:r>
            <w:r w:rsidR="006343C6" w:rsidRPr="00BD0741">
              <w:rPr>
                <w:color w:val="44546A"/>
                <w:sz w:val="24"/>
                <w:szCs w:val="24"/>
              </w:rPr>
              <w:t xml:space="preserve"> due to asthma; increase transmission of lab and prescription data</w:t>
            </w:r>
            <w:r w:rsidR="00235340" w:rsidRPr="00BD0741">
              <w:rPr>
                <w:color w:val="44546A"/>
                <w:sz w:val="24"/>
                <w:szCs w:val="24"/>
              </w:rPr>
              <w:t>.</w:t>
            </w:r>
          </w:p>
        </w:tc>
      </w:tr>
    </w:tbl>
    <w:p w14:paraId="6291F989" w14:textId="77777777" w:rsidR="00A96E5C" w:rsidRDefault="00A96E5C" w:rsidP="00121F81">
      <w:pPr>
        <w:spacing w:before="120" w:after="120"/>
        <w:rPr>
          <w:rFonts w:eastAsia="Times New Roman"/>
          <w:b/>
          <w:bCs/>
          <w:color w:val="44546A"/>
          <w:sz w:val="24"/>
          <w:szCs w:val="24"/>
        </w:rPr>
      </w:pPr>
    </w:p>
    <w:p w14:paraId="63FA8B45" w14:textId="145D83B2" w:rsidR="004441C5" w:rsidRPr="00BD0741" w:rsidRDefault="004441C5" w:rsidP="00121F81">
      <w:pPr>
        <w:spacing w:before="120" w:after="120"/>
        <w:rPr>
          <w:rFonts w:eastAsia="Times New Roman"/>
          <w:color w:val="44546A"/>
          <w:sz w:val="24"/>
          <w:szCs w:val="24"/>
        </w:rPr>
      </w:pPr>
      <w:bookmarkStart w:id="1" w:name="_Hlk158379024"/>
      <w:r w:rsidRPr="00F17907">
        <w:rPr>
          <w:rFonts w:eastAsia="Times New Roman"/>
          <w:b/>
          <w:bCs/>
          <w:color w:val="44546A"/>
          <w:sz w:val="24"/>
          <w:szCs w:val="24"/>
        </w:rPr>
        <w:t>Post-program Desired Outcome</w:t>
      </w:r>
    </w:p>
    <w:bookmarkEnd w:id="1"/>
    <w:p w14:paraId="169299F7" w14:textId="235A318B" w:rsidR="004441C5" w:rsidRDefault="00A54BF2" w:rsidP="00121F81">
      <w:pPr>
        <w:spacing w:before="120" w:after="120"/>
        <w:rPr>
          <w:rFonts w:eastAsia="Times New Roman"/>
          <w:color w:val="44546A"/>
          <w:sz w:val="24"/>
          <w:szCs w:val="24"/>
        </w:rPr>
      </w:pPr>
      <w:r w:rsidRPr="00BD0741">
        <w:rPr>
          <w:rFonts w:eastAsia="Times New Roman"/>
          <w:color w:val="44546A"/>
          <w:sz w:val="24"/>
          <w:szCs w:val="24"/>
        </w:rPr>
        <w:t xml:space="preserve">Greater connectivity across the state </w:t>
      </w:r>
      <w:r w:rsidR="00C1710B">
        <w:rPr>
          <w:rFonts w:eastAsia="Times New Roman"/>
          <w:color w:val="44546A"/>
          <w:sz w:val="24"/>
          <w:szCs w:val="24"/>
        </w:rPr>
        <w:t>will</w:t>
      </w:r>
      <w:r w:rsidR="00924591" w:rsidRPr="00BD0741">
        <w:rPr>
          <w:rFonts w:eastAsia="Times New Roman"/>
          <w:color w:val="44546A"/>
          <w:sz w:val="24"/>
          <w:szCs w:val="24"/>
        </w:rPr>
        <w:t xml:space="preserve"> positively</w:t>
      </w:r>
      <w:r w:rsidRPr="00BD0741">
        <w:rPr>
          <w:rFonts w:eastAsia="Times New Roman"/>
          <w:color w:val="44546A"/>
          <w:sz w:val="24"/>
          <w:szCs w:val="24"/>
        </w:rPr>
        <w:t xml:space="preserve"> </w:t>
      </w:r>
      <w:r w:rsidR="0019260E" w:rsidRPr="00BD0741">
        <w:rPr>
          <w:rFonts w:eastAsia="Times New Roman"/>
          <w:color w:val="44546A"/>
          <w:sz w:val="24"/>
          <w:szCs w:val="24"/>
        </w:rPr>
        <w:t>impact the health outcomes of Medicaid beneficiaries</w:t>
      </w:r>
      <w:r w:rsidR="00C1710B">
        <w:rPr>
          <w:rFonts w:eastAsia="Times New Roman"/>
          <w:color w:val="44546A"/>
          <w:sz w:val="24"/>
          <w:szCs w:val="24"/>
        </w:rPr>
        <w:t>.</w:t>
      </w:r>
      <w:r w:rsidR="0019260E" w:rsidRPr="00BD0741">
        <w:rPr>
          <w:rFonts w:eastAsia="Times New Roman"/>
          <w:color w:val="44546A"/>
          <w:sz w:val="24"/>
          <w:szCs w:val="24"/>
        </w:rPr>
        <w:t xml:space="preserve"> Better exchange of actionable data </w:t>
      </w:r>
      <w:r w:rsidR="00C1710B">
        <w:rPr>
          <w:rFonts w:eastAsia="Times New Roman"/>
          <w:color w:val="44546A"/>
          <w:sz w:val="24"/>
          <w:szCs w:val="24"/>
        </w:rPr>
        <w:t xml:space="preserve">also </w:t>
      </w:r>
      <w:r w:rsidR="0019260E" w:rsidRPr="00BD0741">
        <w:rPr>
          <w:rFonts w:eastAsia="Times New Roman"/>
          <w:color w:val="44546A"/>
          <w:sz w:val="24"/>
          <w:szCs w:val="24"/>
        </w:rPr>
        <w:t xml:space="preserve">will  </w:t>
      </w:r>
      <w:r w:rsidR="00ED2E45" w:rsidRPr="00BD0741">
        <w:rPr>
          <w:rFonts w:eastAsia="Times New Roman"/>
          <w:color w:val="44546A"/>
          <w:sz w:val="24"/>
          <w:szCs w:val="24"/>
        </w:rPr>
        <w:t>help payers and providers advance</w:t>
      </w:r>
      <w:r w:rsidR="00C1710B">
        <w:rPr>
          <w:rFonts w:eastAsia="Times New Roman"/>
          <w:color w:val="44546A"/>
          <w:sz w:val="24"/>
          <w:szCs w:val="24"/>
        </w:rPr>
        <w:t xml:space="preserve"> their</w:t>
      </w:r>
      <w:r w:rsidR="00ED2E45" w:rsidRPr="00BD0741">
        <w:rPr>
          <w:rFonts w:eastAsia="Times New Roman"/>
          <w:color w:val="44546A"/>
          <w:sz w:val="24"/>
          <w:szCs w:val="24"/>
        </w:rPr>
        <w:t xml:space="preserve"> </w:t>
      </w:r>
      <w:r w:rsidR="003A6FF1" w:rsidRPr="00BD0741">
        <w:rPr>
          <w:rFonts w:eastAsia="Times New Roman"/>
          <w:color w:val="44546A"/>
          <w:sz w:val="24"/>
          <w:szCs w:val="24"/>
        </w:rPr>
        <w:t>APMs</w:t>
      </w:r>
      <w:r w:rsidR="00ED2E45" w:rsidRPr="00BD0741">
        <w:rPr>
          <w:rFonts w:eastAsia="Times New Roman"/>
          <w:color w:val="44546A"/>
          <w:sz w:val="24"/>
          <w:szCs w:val="24"/>
        </w:rPr>
        <w:t xml:space="preserve">. </w:t>
      </w:r>
      <w:r w:rsidR="008A4F1F" w:rsidRPr="00BD0741">
        <w:rPr>
          <w:rFonts w:eastAsia="Times New Roman"/>
          <w:color w:val="44546A"/>
          <w:sz w:val="24"/>
          <w:szCs w:val="24"/>
        </w:rPr>
        <w:t xml:space="preserve">Ultimately, </w:t>
      </w:r>
      <w:r w:rsidR="00A3547F" w:rsidRPr="00BD0741">
        <w:rPr>
          <w:rFonts w:eastAsia="Times New Roman"/>
          <w:color w:val="44546A"/>
          <w:sz w:val="24"/>
          <w:szCs w:val="24"/>
        </w:rPr>
        <w:t xml:space="preserve">in future iterations, </w:t>
      </w:r>
      <w:r w:rsidR="008A4F1F" w:rsidRPr="00BD0741">
        <w:rPr>
          <w:rFonts w:eastAsia="Times New Roman"/>
          <w:color w:val="44546A"/>
          <w:sz w:val="24"/>
          <w:szCs w:val="24"/>
        </w:rPr>
        <w:t xml:space="preserve">the program </w:t>
      </w:r>
      <w:r w:rsidR="00C53E38" w:rsidRPr="00BD0741">
        <w:rPr>
          <w:rFonts w:eastAsia="Times New Roman"/>
          <w:color w:val="44546A"/>
          <w:sz w:val="24"/>
          <w:szCs w:val="24"/>
        </w:rPr>
        <w:t>could</w:t>
      </w:r>
      <w:r w:rsidR="008A4F1F" w:rsidRPr="00BD0741">
        <w:rPr>
          <w:rFonts w:eastAsia="Times New Roman"/>
          <w:color w:val="44546A"/>
          <w:sz w:val="24"/>
          <w:szCs w:val="24"/>
        </w:rPr>
        <w:t xml:space="preserve"> incorporate </w:t>
      </w:r>
      <w:r w:rsidR="00C53E38" w:rsidRPr="00BD0741">
        <w:rPr>
          <w:rFonts w:eastAsia="Times New Roman"/>
          <w:color w:val="44546A"/>
          <w:sz w:val="24"/>
          <w:szCs w:val="24"/>
        </w:rPr>
        <w:t xml:space="preserve">additional provider types, such as </w:t>
      </w:r>
      <w:r w:rsidR="008A4F1F" w:rsidRPr="00BD0741">
        <w:rPr>
          <w:rFonts w:eastAsia="Times New Roman"/>
          <w:color w:val="44546A"/>
          <w:sz w:val="24"/>
          <w:szCs w:val="24"/>
        </w:rPr>
        <w:t>ambulatory providers and mental health providers</w:t>
      </w:r>
      <w:r w:rsidR="005801A0" w:rsidRPr="00BD0741">
        <w:rPr>
          <w:rFonts w:eastAsia="Times New Roman"/>
          <w:color w:val="44546A"/>
          <w:sz w:val="24"/>
          <w:szCs w:val="24"/>
        </w:rPr>
        <w:t>,</w:t>
      </w:r>
      <w:r w:rsidR="008A4F1F" w:rsidRPr="00BD0741">
        <w:rPr>
          <w:rFonts w:eastAsia="Times New Roman"/>
          <w:color w:val="44546A"/>
          <w:sz w:val="24"/>
          <w:szCs w:val="24"/>
        </w:rPr>
        <w:t xml:space="preserve"> into </w:t>
      </w:r>
      <w:r w:rsidR="00254BD8" w:rsidRPr="00BD0741">
        <w:rPr>
          <w:rFonts w:eastAsia="Times New Roman"/>
          <w:color w:val="44546A"/>
          <w:sz w:val="24"/>
          <w:szCs w:val="24"/>
        </w:rPr>
        <w:t xml:space="preserve">connectivity </w:t>
      </w:r>
      <w:r w:rsidR="008A4F1F" w:rsidRPr="00BD0741">
        <w:rPr>
          <w:rFonts w:eastAsia="Times New Roman"/>
          <w:color w:val="44546A"/>
          <w:sz w:val="24"/>
          <w:szCs w:val="24"/>
        </w:rPr>
        <w:t xml:space="preserve">metrics that MCOs would be accountable for </w:t>
      </w:r>
      <w:r w:rsidR="00101E2E">
        <w:rPr>
          <w:rFonts w:eastAsia="Times New Roman"/>
          <w:color w:val="44546A"/>
          <w:sz w:val="24"/>
          <w:szCs w:val="24"/>
        </w:rPr>
        <w:t>to</w:t>
      </w:r>
      <w:r w:rsidR="008A4F1F" w:rsidRPr="00BD0741">
        <w:rPr>
          <w:rFonts w:eastAsia="Times New Roman"/>
          <w:color w:val="44546A"/>
          <w:sz w:val="24"/>
          <w:szCs w:val="24"/>
        </w:rPr>
        <w:t xml:space="preserve"> drive im</w:t>
      </w:r>
      <w:r w:rsidR="00254BD8" w:rsidRPr="00BD0741">
        <w:rPr>
          <w:rFonts w:eastAsia="Times New Roman"/>
          <w:color w:val="44546A"/>
          <w:sz w:val="24"/>
          <w:szCs w:val="24"/>
        </w:rPr>
        <w:t>provement in follow-up care and providers</w:t>
      </w:r>
      <w:r w:rsidR="00A65AAE" w:rsidRPr="00BD0741">
        <w:rPr>
          <w:rFonts w:eastAsia="Times New Roman"/>
          <w:color w:val="44546A"/>
          <w:sz w:val="24"/>
          <w:szCs w:val="24"/>
        </w:rPr>
        <w:t>’</w:t>
      </w:r>
      <w:r w:rsidR="00254BD8" w:rsidRPr="00BD0741">
        <w:rPr>
          <w:rFonts w:eastAsia="Times New Roman"/>
          <w:color w:val="44546A"/>
          <w:sz w:val="24"/>
          <w:szCs w:val="24"/>
        </w:rPr>
        <w:t xml:space="preserve"> ability to partic</w:t>
      </w:r>
      <w:r w:rsidR="003A6FF1" w:rsidRPr="00BD0741">
        <w:rPr>
          <w:rFonts w:eastAsia="Times New Roman"/>
          <w:color w:val="44546A"/>
          <w:sz w:val="24"/>
          <w:szCs w:val="24"/>
        </w:rPr>
        <w:t>ipate with transparency in APMs</w:t>
      </w:r>
      <w:r w:rsidR="005801A0" w:rsidRPr="00BD0741">
        <w:rPr>
          <w:rFonts w:eastAsia="Times New Roman"/>
          <w:color w:val="44546A"/>
          <w:sz w:val="24"/>
          <w:szCs w:val="24"/>
        </w:rPr>
        <w:t>.</w:t>
      </w:r>
    </w:p>
    <w:p w14:paraId="022B0C93" w14:textId="77777777" w:rsidR="00C1710B" w:rsidRDefault="00C1710B" w:rsidP="00121F81">
      <w:pPr>
        <w:spacing w:before="120" w:after="120"/>
        <w:rPr>
          <w:rFonts w:eastAsia="Times New Roman"/>
          <w:b/>
          <w:bCs/>
          <w:color w:val="44546A"/>
          <w:sz w:val="24"/>
          <w:szCs w:val="24"/>
        </w:rPr>
      </w:pPr>
    </w:p>
    <w:p w14:paraId="562B606F" w14:textId="1BFAED77" w:rsidR="00C1710B" w:rsidRDefault="00C1710B" w:rsidP="00121F81">
      <w:pPr>
        <w:spacing w:before="120" w:after="120"/>
        <w:rPr>
          <w:rFonts w:eastAsia="Times New Roman"/>
          <w:color w:val="44546A"/>
          <w:sz w:val="24"/>
          <w:szCs w:val="24"/>
        </w:rPr>
      </w:pPr>
      <w:r>
        <w:rPr>
          <w:rFonts w:eastAsia="Times New Roman"/>
          <w:b/>
          <w:bCs/>
          <w:color w:val="44546A"/>
          <w:sz w:val="24"/>
          <w:szCs w:val="24"/>
        </w:rPr>
        <w:t>Year 1 MCO Achievement Milestones</w:t>
      </w:r>
    </w:p>
    <w:p w14:paraId="750ACE08" w14:textId="592B81D9" w:rsidR="00643698" w:rsidRPr="006604D0" w:rsidRDefault="00643698" w:rsidP="006604D0">
      <w:pPr>
        <w:pStyle w:val="ListParagraph"/>
        <w:numPr>
          <w:ilvl w:val="0"/>
          <w:numId w:val="45"/>
        </w:numPr>
        <w:spacing w:before="120" w:after="120"/>
        <w:rPr>
          <w:rFonts w:eastAsia="Times New Roman"/>
          <w:color w:val="44546A"/>
          <w:sz w:val="24"/>
          <w:szCs w:val="24"/>
        </w:rPr>
      </w:pPr>
      <w:r w:rsidRPr="006604D0">
        <w:rPr>
          <w:b/>
          <w:color w:val="44546A"/>
          <w:sz w:val="24"/>
          <w:szCs w:val="24"/>
        </w:rPr>
        <w:t xml:space="preserve">MCO Achievement Milestone 1 - </w:t>
      </w:r>
      <w:r w:rsidRPr="006604D0">
        <w:rPr>
          <w:color w:val="44546A"/>
          <w:sz w:val="24"/>
          <w:szCs w:val="24"/>
        </w:rPr>
        <w:t xml:space="preserve">By </w:t>
      </w:r>
      <w:r w:rsidR="00D86823">
        <w:rPr>
          <w:color w:val="44546A"/>
          <w:sz w:val="24"/>
          <w:szCs w:val="24"/>
        </w:rPr>
        <w:t>January 15, 2025</w:t>
      </w:r>
      <w:r w:rsidRPr="006604D0">
        <w:rPr>
          <w:color w:val="44546A"/>
          <w:sz w:val="24"/>
          <w:szCs w:val="24"/>
        </w:rPr>
        <w:t>, the MCO must submit to HHSC in a manner prescribed by HHSC, a Quantified Assessment of Baseline HIE Connectivity and Interoperability, including data by provider class regarding: number and percentage of MCO’s network providers</w:t>
      </w:r>
      <w:r w:rsidR="001C698E">
        <w:rPr>
          <w:color w:val="44546A"/>
          <w:sz w:val="24"/>
          <w:szCs w:val="24"/>
        </w:rPr>
        <w:t xml:space="preserve">, who were in the network on September 1, 2024, </w:t>
      </w:r>
      <w:r w:rsidRPr="006604D0">
        <w:rPr>
          <w:color w:val="44546A"/>
          <w:sz w:val="24"/>
          <w:szCs w:val="24"/>
        </w:rPr>
        <w:t xml:space="preserve">submitting ADT data to the Medicaid program’s EDEN system through a regional HIE connected to THSA or through a direct connection to THSA; estimated percentage of MCO’s emergency department visits occurring in a hospital connected to EDEN; number and  percentage of MCO’s network providers submitting patient or encounter level CCDA data to a regional HIE or via a national network; status of MCO’s connections or subscriptions to EDEN, regional HIEs, or national HIE networks; number of ADT notices received by the MCO and a qualitative description of how the MCO is using these connections or subscriptions to improve quality of care, implement digital quality </w:t>
      </w:r>
      <w:r w:rsidRPr="006604D0">
        <w:rPr>
          <w:color w:val="44546A"/>
          <w:sz w:val="24"/>
          <w:szCs w:val="24"/>
        </w:rPr>
        <w:lastRenderedPageBreak/>
        <w:t>measurement, support value-based care and payment strategies, or other relevant actions; and description of MCO’s activities to engage and educate network providers on this 438.6(b) program</w:t>
      </w:r>
      <w:r w:rsidR="00EC7209">
        <w:rPr>
          <w:color w:val="44546A"/>
          <w:sz w:val="24"/>
          <w:szCs w:val="24"/>
        </w:rPr>
        <w:t xml:space="preserve">. </w:t>
      </w:r>
      <w:r w:rsidR="00D426E0">
        <w:rPr>
          <w:color w:val="44546A"/>
          <w:sz w:val="24"/>
          <w:szCs w:val="24"/>
        </w:rPr>
        <w:t xml:space="preserve">Achievement for the MCO will be measured by quantifying the number of data fields and responses required in the report and calculating a percentage of data completion of the report. An MCO will be measured as having achieved the milestone if </w:t>
      </w:r>
      <w:r w:rsidR="0097013C">
        <w:rPr>
          <w:color w:val="44546A"/>
          <w:sz w:val="24"/>
          <w:szCs w:val="24"/>
        </w:rPr>
        <w:t xml:space="preserve">the MCO data responses are at a 100% level of completion </w:t>
      </w:r>
      <w:r w:rsidR="00F944A1">
        <w:rPr>
          <w:color w:val="44546A"/>
          <w:sz w:val="24"/>
          <w:szCs w:val="24"/>
        </w:rPr>
        <w:t xml:space="preserve">for </w:t>
      </w:r>
      <w:r w:rsidR="006A45AC">
        <w:rPr>
          <w:color w:val="44546A"/>
          <w:sz w:val="24"/>
          <w:szCs w:val="24"/>
        </w:rPr>
        <w:t xml:space="preserve">data </w:t>
      </w:r>
      <w:r w:rsidR="007A3DBD">
        <w:rPr>
          <w:color w:val="44546A"/>
          <w:sz w:val="24"/>
          <w:szCs w:val="24"/>
        </w:rPr>
        <w:t xml:space="preserve">fields </w:t>
      </w:r>
      <w:r w:rsidR="006A45AC">
        <w:rPr>
          <w:color w:val="44546A"/>
          <w:sz w:val="24"/>
          <w:szCs w:val="24"/>
        </w:rPr>
        <w:t>related to the MCO</w:t>
      </w:r>
      <w:r w:rsidR="006C16A3">
        <w:rPr>
          <w:color w:val="44546A"/>
          <w:sz w:val="24"/>
          <w:szCs w:val="24"/>
        </w:rPr>
        <w:t>’s data</w:t>
      </w:r>
      <w:r w:rsidR="006A45AC">
        <w:rPr>
          <w:color w:val="44546A"/>
          <w:sz w:val="24"/>
          <w:szCs w:val="24"/>
        </w:rPr>
        <w:t xml:space="preserve"> </w:t>
      </w:r>
      <w:r w:rsidR="0097013C">
        <w:rPr>
          <w:color w:val="44546A"/>
          <w:sz w:val="24"/>
          <w:szCs w:val="24"/>
        </w:rPr>
        <w:t xml:space="preserve">and the </w:t>
      </w:r>
      <w:r w:rsidR="001B16A8">
        <w:rPr>
          <w:color w:val="44546A"/>
          <w:sz w:val="24"/>
          <w:szCs w:val="24"/>
        </w:rPr>
        <w:t xml:space="preserve">level of </w:t>
      </w:r>
      <w:r w:rsidR="006A1CCA">
        <w:rPr>
          <w:color w:val="44546A"/>
          <w:sz w:val="24"/>
          <w:szCs w:val="24"/>
        </w:rPr>
        <w:t xml:space="preserve">completion of data fields related to </w:t>
      </w:r>
      <w:r w:rsidR="00DE4EF1">
        <w:rPr>
          <w:color w:val="44546A"/>
          <w:sz w:val="24"/>
          <w:szCs w:val="24"/>
        </w:rPr>
        <w:t xml:space="preserve">in-network responding hospitals </w:t>
      </w:r>
      <w:r w:rsidR="00D426E0">
        <w:rPr>
          <w:color w:val="44546A"/>
          <w:sz w:val="24"/>
          <w:szCs w:val="24"/>
        </w:rPr>
        <w:t>percentage of data completion is 9</w:t>
      </w:r>
      <w:r w:rsidR="0076471D">
        <w:rPr>
          <w:color w:val="44546A"/>
          <w:sz w:val="24"/>
          <w:szCs w:val="24"/>
        </w:rPr>
        <w:t>0</w:t>
      </w:r>
      <w:r w:rsidR="00D426E0">
        <w:rPr>
          <w:color w:val="44546A"/>
          <w:sz w:val="24"/>
          <w:szCs w:val="24"/>
        </w:rPr>
        <w:t xml:space="preserve">% or higher. If an MCO does not achieve </w:t>
      </w:r>
      <w:r w:rsidR="001B16A8">
        <w:rPr>
          <w:color w:val="44546A"/>
          <w:sz w:val="24"/>
          <w:szCs w:val="24"/>
        </w:rPr>
        <w:t xml:space="preserve">both </w:t>
      </w:r>
      <w:r w:rsidR="00D426E0">
        <w:rPr>
          <w:color w:val="44546A"/>
          <w:sz w:val="24"/>
          <w:szCs w:val="24"/>
        </w:rPr>
        <w:t xml:space="preserve"> minimum achievement percentage</w:t>
      </w:r>
      <w:r w:rsidR="001B16A8">
        <w:rPr>
          <w:color w:val="44546A"/>
          <w:sz w:val="24"/>
          <w:szCs w:val="24"/>
        </w:rPr>
        <w:t>s</w:t>
      </w:r>
      <w:r w:rsidR="00D426E0">
        <w:rPr>
          <w:color w:val="44546A"/>
          <w:sz w:val="24"/>
          <w:szCs w:val="24"/>
        </w:rPr>
        <w:t>, the MCO will not receive an incentive payment.</w:t>
      </w:r>
    </w:p>
    <w:p w14:paraId="176642F1" w14:textId="570710CB" w:rsidR="00EC7209" w:rsidRDefault="00DE4EF1" w:rsidP="00EC7209">
      <w:pPr>
        <w:spacing w:before="120" w:after="120"/>
        <w:ind w:left="720"/>
        <w:rPr>
          <w:color w:val="44546A"/>
          <w:sz w:val="24"/>
          <w:szCs w:val="24"/>
        </w:rPr>
      </w:pPr>
      <w:r>
        <w:rPr>
          <w:color w:val="44546A"/>
          <w:sz w:val="24"/>
          <w:szCs w:val="24"/>
        </w:rPr>
        <w:t>To ensure that the MCO has collected responses from a sufficient quantity of in network providers for HHSC to calculate the data completion percentage</w:t>
      </w:r>
      <w:r w:rsidR="003C1F25">
        <w:rPr>
          <w:color w:val="44546A"/>
          <w:sz w:val="24"/>
          <w:szCs w:val="24"/>
        </w:rPr>
        <w:t xml:space="preserve"> and </w:t>
      </w:r>
      <w:r w:rsidR="00DD7A5F">
        <w:rPr>
          <w:color w:val="44546A"/>
          <w:sz w:val="24"/>
          <w:szCs w:val="24"/>
        </w:rPr>
        <w:t>for the MCO report to be considered complete by HHSC</w:t>
      </w:r>
      <w:r>
        <w:rPr>
          <w:color w:val="44546A"/>
          <w:sz w:val="24"/>
          <w:szCs w:val="24"/>
        </w:rPr>
        <w:t>, t</w:t>
      </w:r>
      <w:r w:rsidR="00BE78FD" w:rsidRPr="00D75FDD">
        <w:rPr>
          <w:color w:val="44546A"/>
          <w:sz w:val="24"/>
          <w:szCs w:val="24"/>
        </w:rPr>
        <w:t xml:space="preserve">he MCO must collect a certification </w:t>
      </w:r>
      <w:r w:rsidR="008C0EF4">
        <w:rPr>
          <w:color w:val="44546A"/>
          <w:sz w:val="24"/>
          <w:szCs w:val="24"/>
        </w:rPr>
        <w:t>from</w:t>
      </w:r>
      <w:r w:rsidR="008C0EF4" w:rsidRPr="00D75FDD">
        <w:rPr>
          <w:color w:val="44546A"/>
          <w:sz w:val="24"/>
          <w:szCs w:val="24"/>
        </w:rPr>
        <w:t xml:space="preserve"> </w:t>
      </w:r>
      <w:r w:rsidR="009A1C99">
        <w:rPr>
          <w:color w:val="44546A"/>
          <w:sz w:val="24"/>
          <w:szCs w:val="24"/>
        </w:rPr>
        <w:t xml:space="preserve">each </w:t>
      </w:r>
      <w:r w:rsidR="00BE78FD" w:rsidRPr="00D75FDD">
        <w:rPr>
          <w:color w:val="44546A"/>
          <w:sz w:val="24"/>
          <w:szCs w:val="24"/>
        </w:rPr>
        <w:t>in</w:t>
      </w:r>
      <w:r w:rsidR="008C0EF4">
        <w:rPr>
          <w:color w:val="44546A"/>
          <w:sz w:val="24"/>
          <w:szCs w:val="24"/>
        </w:rPr>
        <w:t>-</w:t>
      </w:r>
      <w:r w:rsidR="00BE78FD" w:rsidRPr="00D75FDD">
        <w:rPr>
          <w:color w:val="44546A"/>
          <w:sz w:val="24"/>
          <w:szCs w:val="24"/>
        </w:rPr>
        <w:t>network provider</w:t>
      </w:r>
      <w:r w:rsidR="000D2ACB">
        <w:rPr>
          <w:color w:val="44546A"/>
          <w:sz w:val="24"/>
          <w:szCs w:val="24"/>
        </w:rPr>
        <w:t xml:space="preserve"> whose data is included in the MCO report</w:t>
      </w:r>
      <w:r w:rsidR="00BE78FD" w:rsidRPr="00D75FDD">
        <w:rPr>
          <w:color w:val="44546A"/>
          <w:sz w:val="24"/>
          <w:szCs w:val="24"/>
        </w:rPr>
        <w:t xml:space="preserve"> that the HIE connectivity status and subscription information </w:t>
      </w:r>
      <w:r w:rsidR="00190C29">
        <w:rPr>
          <w:color w:val="44546A"/>
          <w:sz w:val="24"/>
          <w:szCs w:val="24"/>
        </w:rPr>
        <w:t xml:space="preserve">for that provider </w:t>
      </w:r>
      <w:r w:rsidR="00BE78FD" w:rsidRPr="00D75FDD">
        <w:rPr>
          <w:color w:val="44546A"/>
          <w:sz w:val="24"/>
          <w:szCs w:val="24"/>
        </w:rPr>
        <w:t xml:space="preserve">is accurate </w:t>
      </w:r>
      <w:r w:rsidR="00BE78FD" w:rsidRPr="00D75FDD" w:rsidDel="00DE4EF1">
        <w:rPr>
          <w:color w:val="44546A"/>
          <w:sz w:val="24"/>
          <w:szCs w:val="24"/>
        </w:rPr>
        <w:t>and complete</w:t>
      </w:r>
      <w:r w:rsidR="00D75FDD">
        <w:rPr>
          <w:color w:val="44546A"/>
          <w:sz w:val="24"/>
          <w:szCs w:val="24"/>
        </w:rPr>
        <w:t>.</w:t>
      </w:r>
      <w:r w:rsidR="00EC7209" w:rsidRPr="00EC7209">
        <w:rPr>
          <w:color w:val="44546A"/>
          <w:sz w:val="24"/>
          <w:szCs w:val="24"/>
        </w:rPr>
        <w:t xml:space="preserve"> </w:t>
      </w:r>
      <w:r w:rsidR="00611F49">
        <w:rPr>
          <w:color w:val="44546A"/>
          <w:sz w:val="24"/>
          <w:szCs w:val="24"/>
        </w:rPr>
        <w:t>To earn the incentive payment, t</w:t>
      </w:r>
      <w:r w:rsidR="00EC7209" w:rsidRPr="003106D1">
        <w:rPr>
          <w:color w:val="44546A"/>
          <w:sz w:val="24"/>
          <w:szCs w:val="24"/>
        </w:rPr>
        <w:t xml:space="preserve">he MCO must collect </w:t>
      </w:r>
      <w:r w:rsidR="000D2ACB">
        <w:rPr>
          <w:color w:val="44546A"/>
          <w:sz w:val="24"/>
          <w:szCs w:val="24"/>
        </w:rPr>
        <w:t xml:space="preserve">this </w:t>
      </w:r>
      <w:r w:rsidR="00EC7209" w:rsidRPr="003106D1">
        <w:rPr>
          <w:color w:val="44546A"/>
          <w:sz w:val="24"/>
          <w:szCs w:val="24"/>
        </w:rPr>
        <w:t xml:space="preserve"> certification </w:t>
      </w:r>
      <w:r w:rsidR="00EC7209">
        <w:rPr>
          <w:color w:val="44546A"/>
          <w:sz w:val="24"/>
          <w:szCs w:val="24"/>
        </w:rPr>
        <w:t>from a statistically significant number of</w:t>
      </w:r>
      <w:r w:rsidR="00EC7209" w:rsidRPr="003106D1">
        <w:rPr>
          <w:color w:val="44546A"/>
          <w:sz w:val="24"/>
          <w:szCs w:val="24"/>
        </w:rPr>
        <w:t xml:space="preserve"> in-network providers</w:t>
      </w:r>
      <w:r w:rsidR="00EC7209">
        <w:rPr>
          <w:color w:val="44546A"/>
          <w:sz w:val="24"/>
          <w:szCs w:val="24"/>
        </w:rPr>
        <w:t xml:space="preserve"> that were responsible for submitting a significant percentage of hospital claims in the prior fiscal year</w:t>
      </w:r>
      <w:r w:rsidR="00EC7209" w:rsidRPr="003106D1">
        <w:rPr>
          <w:color w:val="44546A"/>
          <w:sz w:val="24"/>
          <w:szCs w:val="24"/>
        </w:rPr>
        <w:t xml:space="preserve"> that the </w:t>
      </w:r>
      <w:r w:rsidR="00EF6588">
        <w:rPr>
          <w:color w:val="44546A"/>
          <w:sz w:val="24"/>
          <w:szCs w:val="24"/>
        </w:rPr>
        <w:t>hospital-</w:t>
      </w:r>
      <w:r w:rsidR="000D2ACB">
        <w:rPr>
          <w:color w:val="44546A"/>
          <w:sz w:val="24"/>
          <w:szCs w:val="24"/>
        </w:rPr>
        <w:t>related</w:t>
      </w:r>
      <w:r w:rsidR="00EF6588">
        <w:rPr>
          <w:color w:val="44546A"/>
          <w:sz w:val="24"/>
          <w:szCs w:val="24"/>
        </w:rPr>
        <w:t xml:space="preserve"> data reported to HHSC</w:t>
      </w:r>
      <w:r>
        <w:rPr>
          <w:color w:val="44546A"/>
          <w:sz w:val="24"/>
          <w:szCs w:val="24"/>
        </w:rPr>
        <w:t xml:space="preserve"> by the MCO</w:t>
      </w:r>
      <w:r w:rsidR="00EF6588" w:rsidRPr="003106D1">
        <w:rPr>
          <w:color w:val="44546A"/>
          <w:sz w:val="24"/>
          <w:szCs w:val="24"/>
        </w:rPr>
        <w:t xml:space="preserve"> </w:t>
      </w:r>
      <w:r w:rsidR="00EC7209" w:rsidRPr="003106D1">
        <w:rPr>
          <w:color w:val="44546A"/>
          <w:sz w:val="24"/>
          <w:szCs w:val="24"/>
        </w:rPr>
        <w:t>is accurate .</w:t>
      </w:r>
      <w:r w:rsidR="00EC7209">
        <w:rPr>
          <w:color w:val="44546A"/>
          <w:sz w:val="24"/>
          <w:szCs w:val="24"/>
        </w:rPr>
        <w:t xml:space="preserve">  The minimum thresholds to demonstrate that </w:t>
      </w:r>
      <w:r w:rsidR="00EB2A29">
        <w:rPr>
          <w:color w:val="44546A"/>
          <w:sz w:val="24"/>
          <w:szCs w:val="24"/>
        </w:rPr>
        <w:t xml:space="preserve">an MCO has collected a statistically significant number of provider certifications such that </w:t>
      </w:r>
      <w:r w:rsidR="00947E65">
        <w:rPr>
          <w:color w:val="44546A"/>
          <w:sz w:val="24"/>
          <w:szCs w:val="24"/>
        </w:rPr>
        <w:t xml:space="preserve">that data may be uses </w:t>
      </w:r>
      <w:r w:rsidR="00EC7209">
        <w:rPr>
          <w:color w:val="44546A"/>
          <w:sz w:val="24"/>
          <w:szCs w:val="24"/>
        </w:rPr>
        <w:t xml:space="preserve">as a future baseline </w:t>
      </w:r>
      <w:r w:rsidR="00822C05">
        <w:rPr>
          <w:color w:val="44546A"/>
          <w:sz w:val="24"/>
          <w:szCs w:val="24"/>
        </w:rPr>
        <w:t xml:space="preserve">are listed in the table following </w:t>
      </w:r>
      <w:r w:rsidR="00625669">
        <w:rPr>
          <w:color w:val="44546A"/>
          <w:sz w:val="24"/>
          <w:szCs w:val="24"/>
        </w:rPr>
        <w:t xml:space="preserve">the </w:t>
      </w:r>
      <w:r w:rsidR="00822C05">
        <w:rPr>
          <w:color w:val="44546A"/>
          <w:sz w:val="24"/>
          <w:szCs w:val="24"/>
        </w:rPr>
        <w:t>Milestone 2</w:t>
      </w:r>
      <w:r w:rsidR="00625669">
        <w:rPr>
          <w:color w:val="44546A"/>
          <w:sz w:val="24"/>
          <w:szCs w:val="24"/>
        </w:rPr>
        <w:t xml:space="preserve"> description and achievement standards</w:t>
      </w:r>
      <w:r w:rsidR="00822C05">
        <w:rPr>
          <w:color w:val="44546A"/>
          <w:sz w:val="24"/>
          <w:szCs w:val="24"/>
        </w:rPr>
        <w:t>.</w:t>
      </w:r>
    </w:p>
    <w:p w14:paraId="1AFCEAE9" w14:textId="4922E58D" w:rsidR="006604D0" w:rsidRDefault="006604D0" w:rsidP="006604D0">
      <w:pPr>
        <w:spacing w:before="120" w:after="120"/>
        <w:ind w:left="720"/>
        <w:rPr>
          <w:color w:val="44546A"/>
          <w:sz w:val="24"/>
          <w:szCs w:val="24"/>
        </w:rPr>
      </w:pPr>
    </w:p>
    <w:p w14:paraId="4C370A83" w14:textId="589617A2" w:rsidR="003106D1" w:rsidRDefault="00CA45A3" w:rsidP="005305F8">
      <w:pPr>
        <w:pStyle w:val="ListParagraph"/>
        <w:spacing w:before="120" w:after="120"/>
        <w:rPr>
          <w:color w:val="44546A"/>
          <w:sz w:val="24"/>
          <w:szCs w:val="24"/>
        </w:rPr>
      </w:pPr>
      <w:r w:rsidRPr="009F6564">
        <w:rPr>
          <w:b/>
          <w:color w:val="44546A"/>
          <w:sz w:val="24"/>
          <w:szCs w:val="24"/>
        </w:rPr>
        <w:t>MCO Achievement Milestone 2</w:t>
      </w:r>
      <w:r w:rsidR="000F3C9B" w:rsidRPr="009F6564">
        <w:rPr>
          <w:b/>
          <w:color w:val="44546A"/>
          <w:sz w:val="24"/>
          <w:szCs w:val="24"/>
        </w:rPr>
        <w:t xml:space="preserve"> </w:t>
      </w:r>
      <w:r w:rsidR="00626291" w:rsidRPr="009F6564">
        <w:rPr>
          <w:b/>
          <w:color w:val="44546A"/>
          <w:sz w:val="24"/>
          <w:szCs w:val="24"/>
        </w:rPr>
        <w:t xml:space="preserve">- </w:t>
      </w:r>
      <w:r w:rsidR="000F3C9B" w:rsidRPr="009F6564">
        <w:rPr>
          <w:color w:val="44546A"/>
          <w:sz w:val="24"/>
          <w:szCs w:val="24"/>
        </w:rPr>
        <w:t xml:space="preserve">By </w:t>
      </w:r>
      <w:r w:rsidR="00D86823">
        <w:rPr>
          <w:color w:val="44546A"/>
          <w:sz w:val="24"/>
          <w:szCs w:val="24"/>
        </w:rPr>
        <w:t>July 15, 2025</w:t>
      </w:r>
      <w:r w:rsidR="000F3C9B" w:rsidRPr="009F6564">
        <w:rPr>
          <w:color w:val="44546A"/>
          <w:sz w:val="24"/>
          <w:szCs w:val="24"/>
        </w:rPr>
        <w:t xml:space="preserve">, the MCO must report to HHSC </w:t>
      </w:r>
      <w:r w:rsidR="00101E2E">
        <w:rPr>
          <w:color w:val="44546A"/>
          <w:sz w:val="24"/>
          <w:szCs w:val="24"/>
        </w:rPr>
        <w:t>in a manner</w:t>
      </w:r>
      <w:r w:rsidR="000F3C9B" w:rsidRPr="009F6564">
        <w:rPr>
          <w:color w:val="44546A"/>
          <w:sz w:val="24"/>
          <w:szCs w:val="24"/>
        </w:rPr>
        <w:t xml:space="preserve"> prescribed by HHSC an updated Quantified Assessment of Baseline HIE Connectivity and Interoperability detailing the barriers that the MCO is experiencing in establishing interoperable connectivity of ADT and/or CCDA data by in-network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0F3C9B" w:rsidRPr="009F6564">
        <w:rPr>
          <w:color w:val="44546A"/>
          <w:sz w:val="24"/>
          <w:szCs w:val="24"/>
        </w:rPr>
        <w:t xml:space="preserve"> and a plan by the MCO to improve the ratio of 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0F3C9B" w:rsidRPr="009F6564">
        <w:rPr>
          <w:color w:val="44546A"/>
          <w:sz w:val="24"/>
          <w:szCs w:val="24"/>
        </w:rPr>
        <w:t xml:space="preserve"> connected to HIE in the future. </w:t>
      </w:r>
      <w:r w:rsidR="00D426E0">
        <w:rPr>
          <w:color w:val="44546A"/>
          <w:sz w:val="24"/>
          <w:szCs w:val="24"/>
        </w:rPr>
        <w:t xml:space="preserve">Achievement for the MCO will be measured by quantifying the number of data fields and responses required in the report and calculating a percentage of data completion of the report. An MCO will be measured as having achieved the milestone if percentage of </w:t>
      </w:r>
      <w:r w:rsidR="00BE0E50">
        <w:rPr>
          <w:color w:val="44546A"/>
          <w:sz w:val="24"/>
          <w:szCs w:val="24"/>
        </w:rPr>
        <w:t xml:space="preserve">the </w:t>
      </w:r>
      <w:r w:rsidR="00D426E0">
        <w:rPr>
          <w:color w:val="44546A"/>
          <w:sz w:val="24"/>
          <w:szCs w:val="24"/>
        </w:rPr>
        <w:t xml:space="preserve"> completion </w:t>
      </w:r>
      <w:r w:rsidR="00BE0E50">
        <w:rPr>
          <w:color w:val="44546A"/>
          <w:sz w:val="24"/>
          <w:szCs w:val="24"/>
        </w:rPr>
        <w:t xml:space="preserve">of data fields </w:t>
      </w:r>
      <w:r w:rsidR="009F1D27">
        <w:rPr>
          <w:color w:val="44546A"/>
          <w:sz w:val="24"/>
          <w:szCs w:val="24"/>
        </w:rPr>
        <w:t xml:space="preserve">related to responding in-network hospitals </w:t>
      </w:r>
      <w:r w:rsidR="00D426E0">
        <w:rPr>
          <w:color w:val="44546A"/>
          <w:sz w:val="24"/>
          <w:szCs w:val="24"/>
        </w:rPr>
        <w:t xml:space="preserve">is greater than in the preceding measurement period or is 100%. If an MCO does not achieve an improvement </w:t>
      </w:r>
      <w:r w:rsidR="005305F8">
        <w:rPr>
          <w:color w:val="44546A"/>
          <w:sz w:val="24"/>
          <w:szCs w:val="24"/>
        </w:rPr>
        <w:t>over self</w:t>
      </w:r>
      <w:r w:rsidR="00D426E0">
        <w:rPr>
          <w:color w:val="44546A"/>
          <w:sz w:val="24"/>
          <w:szCs w:val="24"/>
        </w:rPr>
        <w:t xml:space="preserve"> or maintain a percentage of 100% completion, the MCO will not receive an incentive payment.</w:t>
      </w:r>
    </w:p>
    <w:p w14:paraId="421E5DAB" w14:textId="3C170528" w:rsidR="00B255C7" w:rsidRDefault="00DE4EF1" w:rsidP="003106D1">
      <w:pPr>
        <w:spacing w:before="120" w:after="120"/>
        <w:ind w:left="720"/>
        <w:rPr>
          <w:color w:val="44546A"/>
          <w:sz w:val="24"/>
          <w:szCs w:val="24"/>
        </w:rPr>
      </w:pPr>
      <w:r>
        <w:rPr>
          <w:color w:val="44546A"/>
          <w:sz w:val="24"/>
          <w:szCs w:val="24"/>
        </w:rPr>
        <w:t>To ensure that the MCO has collected responses from a sufficient quantity of in network providers for HHSC to calculate the data completion percentage, t</w:t>
      </w:r>
      <w:r w:rsidRPr="00D75FDD">
        <w:rPr>
          <w:color w:val="44546A"/>
          <w:sz w:val="24"/>
          <w:szCs w:val="24"/>
        </w:rPr>
        <w:t>he</w:t>
      </w:r>
      <w:r w:rsidR="000F3C9B" w:rsidRPr="003106D1">
        <w:rPr>
          <w:color w:val="44546A"/>
          <w:sz w:val="24"/>
          <w:szCs w:val="24"/>
        </w:rPr>
        <w:t xml:space="preserve"> MCO must collect a certification </w:t>
      </w:r>
      <w:r w:rsidR="00EC7209">
        <w:rPr>
          <w:color w:val="44546A"/>
          <w:sz w:val="24"/>
          <w:szCs w:val="24"/>
        </w:rPr>
        <w:t>from a statistically significant number of</w:t>
      </w:r>
      <w:r w:rsidR="000F3C9B" w:rsidRPr="003106D1">
        <w:rPr>
          <w:color w:val="44546A"/>
          <w:sz w:val="24"/>
          <w:szCs w:val="24"/>
        </w:rPr>
        <w:t xml:space="preserve"> in-network providers</w:t>
      </w:r>
      <w:r w:rsidR="001C698E">
        <w:rPr>
          <w:color w:val="44546A"/>
          <w:sz w:val="24"/>
          <w:szCs w:val="24"/>
        </w:rPr>
        <w:t>,</w:t>
      </w:r>
      <w:r w:rsidR="001C698E" w:rsidRPr="001C698E">
        <w:rPr>
          <w:color w:val="44546A"/>
          <w:sz w:val="24"/>
          <w:szCs w:val="24"/>
        </w:rPr>
        <w:t xml:space="preserve"> </w:t>
      </w:r>
      <w:r w:rsidR="001C698E">
        <w:rPr>
          <w:color w:val="44546A"/>
          <w:sz w:val="24"/>
          <w:szCs w:val="24"/>
        </w:rPr>
        <w:t xml:space="preserve">who were in the network on September 1, 2024, </w:t>
      </w:r>
      <w:r w:rsidR="00EC7209">
        <w:rPr>
          <w:color w:val="44546A"/>
          <w:sz w:val="24"/>
          <w:szCs w:val="24"/>
        </w:rPr>
        <w:t>that were responsible for submitting a significant percentage of hospital claims in the prior fiscal year</w:t>
      </w:r>
      <w:r w:rsidR="000F3C9B" w:rsidRPr="003106D1">
        <w:rPr>
          <w:color w:val="44546A"/>
          <w:sz w:val="24"/>
          <w:szCs w:val="24"/>
        </w:rPr>
        <w:t xml:space="preserve"> that the HIE connection status and data exchange information is accurate and that the in-network provider concurs with the barriers identified by the MCO for the MCO report to HHSC to be considered complete.</w:t>
      </w:r>
      <w:r w:rsidR="00EC7209">
        <w:rPr>
          <w:color w:val="44546A"/>
          <w:sz w:val="24"/>
          <w:szCs w:val="24"/>
        </w:rPr>
        <w:t xml:space="preserve">  The minimum thresholds to demonstrate that the number of in-network providers certifying the reported data is valid for use as a future baseline are as follows:</w:t>
      </w:r>
    </w:p>
    <w:tbl>
      <w:tblPr>
        <w:tblStyle w:val="TableGrid"/>
        <w:tblW w:w="0" w:type="auto"/>
        <w:tblInd w:w="720" w:type="dxa"/>
        <w:tblLook w:val="04A0" w:firstRow="1" w:lastRow="0" w:firstColumn="1" w:lastColumn="0" w:noHBand="0" w:noVBand="1"/>
      </w:tblPr>
      <w:tblGrid>
        <w:gridCol w:w="5988"/>
        <w:gridCol w:w="5996"/>
        <w:gridCol w:w="6006"/>
      </w:tblGrid>
      <w:tr w:rsidR="00EC7209" w14:paraId="25075D0D" w14:textId="77777777" w:rsidTr="00EC7209">
        <w:trPr>
          <w:cnfStyle w:val="100000000000" w:firstRow="1" w:lastRow="0" w:firstColumn="0" w:lastColumn="0" w:oddVBand="0" w:evenVBand="0" w:oddHBand="0" w:evenHBand="0" w:firstRowFirstColumn="0" w:firstRowLastColumn="0" w:lastRowFirstColumn="0" w:lastRowLastColumn="0"/>
        </w:trPr>
        <w:tc>
          <w:tcPr>
            <w:tcW w:w="6236" w:type="dxa"/>
          </w:tcPr>
          <w:p w14:paraId="616335A6" w14:textId="4356B92A" w:rsidR="00EC7209" w:rsidRDefault="00EC7209" w:rsidP="003106D1">
            <w:pPr>
              <w:spacing w:before="120" w:after="120"/>
              <w:rPr>
                <w:color w:val="44546A"/>
                <w:sz w:val="24"/>
                <w:szCs w:val="24"/>
              </w:rPr>
            </w:pPr>
            <w:r>
              <w:rPr>
                <w:color w:val="44546A"/>
                <w:sz w:val="24"/>
                <w:szCs w:val="24"/>
              </w:rPr>
              <w:lastRenderedPageBreak/>
              <w:t>Class of Hospital</w:t>
            </w:r>
          </w:p>
        </w:tc>
        <w:tc>
          <w:tcPr>
            <w:tcW w:w="6237" w:type="dxa"/>
          </w:tcPr>
          <w:p w14:paraId="360DFBBE" w14:textId="1DD70A57" w:rsidR="00EC7209" w:rsidRDefault="00EC7209" w:rsidP="003106D1">
            <w:pPr>
              <w:spacing w:before="120" w:after="120"/>
              <w:rPr>
                <w:color w:val="44546A"/>
                <w:sz w:val="24"/>
                <w:szCs w:val="24"/>
              </w:rPr>
            </w:pPr>
            <w:r>
              <w:rPr>
                <w:color w:val="44546A"/>
                <w:sz w:val="24"/>
                <w:szCs w:val="24"/>
              </w:rPr>
              <w:t>Minimum Sample Size</w:t>
            </w:r>
            <w:r w:rsidR="005458A3">
              <w:rPr>
                <w:color w:val="44546A"/>
                <w:sz w:val="24"/>
                <w:szCs w:val="24"/>
              </w:rPr>
              <w:t xml:space="preserve"> of In-Network Providers Certifying the Data</w:t>
            </w:r>
          </w:p>
        </w:tc>
        <w:tc>
          <w:tcPr>
            <w:tcW w:w="6237" w:type="dxa"/>
          </w:tcPr>
          <w:p w14:paraId="517F8B14" w14:textId="77D9A53A" w:rsidR="00EC7209" w:rsidRDefault="00EC7209" w:rsidP="003106D1">
            <w:pPr>
              <w:spacing w:before="120" w:after="120"/>
              <w:rPr>
                <w:color w:val="44546A"/>
                <w:sz w:val="24"/>
                <w:szCs w:val="24"/>
              </w:rPr>
            </w:pPr>
            <w:r>
              <w:rPr>
                <w:color w:val="44546A"/>
                <w:sz w:val="24"/>
                <w:szCs w:val="24"/>
              </w:rPr>
              <w:t>Minimum Percentage of Prior Year Unique Claims</w:t>
            </w:r>
            <w:r w:rsidR="00195D4D">
              <w:rPr>
                <w:color w:val="44546A"/>
                <w:sz w:val="24"/>
                <w:szCs w:val="24"/>
              </w:rPr>
              <w:t xml:space="preserve"> Associated with the </w:t>
            </w:r>
            <w:r w:rsidR="005458A3">
              <w:rPr>
                <w:color w:val="44546A"/>
                <w:sz w:val="24"/>
                <w:szCs w:val="24"/>
              </w:rPr>
              <w:t>In-Network Providers Certifying the Data</w:t>
            </w:r>
          </w:p>
        </w:tc>
      </w:tr>
      <w:tr w:rsidR="00EC7209" w14:paraId="1E1DA019" w14:textId="77777777" w:rsidTr="00EC7209">
        <w:tc>
          <w:tcPr>
            <w:tcW w:w="6236" w:type="dxa"/>
          </w:tcPr>
          <w:p w14:paraId="26898CF2" w14:textId="00950E7C" w:rsidR="00EC7209" w:rsidRDefault="00EC7209" w:rsidP="003106D1">
            <w:pPr>
              <w:spacing w:before="120" w:after="120"/>
              <w:rPr>
                <w:color w:val="44546A"/>
                <w:sz w:val="24"/>
                <w:szCs w:val="24"/>
              </w:rPr>
            </w:pPr>
            <w:r>
              <w:rPr>
                <w:color w:val="44546A"/>
                <w:sz w:val="24"/>
                <w:szCs w:val="24"/>
              </w:rPr>
              <w:t>Rural</w:t>
            </w:r>
          </w:p>
        </w:tc>
        <w:tc>
          <w:tcPr>
            <w:tcW w:w="6237" w:type="dxa"/>
          </w:tcPr>
          <w:p w14:paraId="05F0F5DC" w14:textId="6BF38D7C" w:rsidR="00EC7209" w:rsidRDefault="00EC7209" w:rsidP="003106D1">
            <w:pPr>
              <w:spacing w:before="120" w:after="120"/>
              <w:rPr>
                <w:color w:val="44546A"/>
                <w:sz w:val="24"/>
                <w:szCs w:val="24"/>
              </w:rPr>
            </w:pPr>
            <w:r>
              <w:rPr>
                <w:color w:val="44546A"/>
                <w:sz w:val="24"/>
                <w:szCs w:val="24"/>
              </w:rPr>
              <w:t>98% Confidence</w:t>
            </w:r>
            <w:r w:rsidR="005458A3">
              <w:rPr>
                <w:color w:val="44546A"/>
                <w:sz w:val="24"/>
                <w:szCs w:val="24"/>
              </w:rPr>
              <w:t xml:space="preserve"> Level</w:t>
            </w:r>
            <w:r>
              <w:rPr>
                <w:color w:val="44546A"/>
                <w:sz w:val="24"/>
                <w:szCs w:val="24"/>
              </w:rPr>
              <w:t xml:space="preserve"> with a 2% Interval</w:t>
            </w:r>
          </w:p>
        </w:tc>
        <w:tc>
          <w:tcPr>
            <w:tcW w:w="6237" w:type="dxa"/>
          </w:tcPr>
          <w:p w14:paraId="0814B984" w14:textId="698CA015" w:rsidR="00EC7209" w:rsidRDefault="00EC7209" w:rsidP="003106D1">
            <w:pPr>
              <w:spacing w:before="120" w:after="120"/>
              <w:rPr>
                <w:color w:val="44546A"/>
                <w:sz w:val="24"/>
                <w:szCs w:val="24"/>
              </w:rPr>
            </w:pPr>
            <w:r>
              <w:rPr>
                <w:color w:val="44546A"/>
                <w:sz w:val="24"/>
                <w:szCs w:val="24"/>
              </w:rPr>
              <w:t>95%</w:t>
            </w:r>
          </w:p>
        </w:tc>
      </w:tr>
      <w:tr w:rsidR="00EC7209" w14:paraId="185913EF" w14:textId="77777777" w:rsidTr="00EC7209">
        <w:tc>
          <w:tcPr>
            <w:tcW w:w="6236" w:type="dxa"/>
          </w:tcPr>
          <w:p w14:paraId="719399D3" w14:textId="551BBB80" w:rsidR="00EC7209" w:rsidRDefault="00EC7209" w:rsidP="003106D1">
            <w:pPr>
              <w:spacing w:before="120" w:after="120"/>
              <w:rPr>
                <w:color w:val="44546A"/>
                <w:sz w:val="24"/>
                <w:szCs w:val="24"/>
              </w:rPr>
            </w:pPr>
            <w:r>
              <w:rPr>
                <w:color w:val="44546A"/>
                <w:sz w:val="24"/>
                <w:szCs w:val="24"/>
              </w:rPr>
              <w:t>Children’s</w:t>
            </w:r>
          </w:p>
        </w:tc>
        <w:tc>
          <w:tcPr>
            <w:tcW w:w="6237" w:type="dxa"/>
          </w:tcPr>
          <w:p w14:paraId="46811D14" w14:textId="2054412F" w:rsidR="00EC7209" w:rsidRDefault="00EC7209" w:rsidP="003106D1">
            <w:pPr>
              <w:spacing w:before="120" w:after="120"/>
              <w:rPr>
                <w:color w:val="44546A"/>
                <w:sz w:val="24"/>
                <w:szCs w:val="24"/>
              </w:rPr>
            </w:pPr>
            <w:r>
              <w:rPr>
                <w:color w:val="44546A"/>
                <w:sz w:val="24"/>
                <w:szCs w:val="24"/>
              </w:rPr>
              <w:t xml:space="preserve">90% Confidence </w:t>
            </w:r>
            <w:r w:rsidR="005458A3">
              <w:rPr>
                <w:color w:val="44546A"/>
                <w:sz w:val="24"/>
                <w:szCs w:val="24"/>
              </w:rPr>
              <w:t xml:space="preserve">Level </w:t>
            </w:r>
            <w:r>
              <w:rPr>
                <w:color w:val="44546A"/>
                <w:sz w:val="24"/>
                <w:szCs w:val="24"/>
              </w:rPr>
              <w:t>with a 2% Interval</w:t>
            </w:r>
          </w:p>
        </w:tc>
        <w:tc>
          <w:tcPr>
            <w:tcW w:w="6237" w:type="dxa"/>
          </w:tcPr>
          <w:p w14:paraId="6245519E" w14:textId="09D5B095" w:rsidR="00EC7209" w:rsidRDefault="00EC7209" w:rsidP="003106D1">
            <w:pPr>
              <w:spacing w:before="120" w:after="120"/>
              <w:rPr>
                <w:color w:val="44546A"/>
                <w:sz w:val="24"/>
                <w:szCs w:val="24"/>
              </w:rPr>
            </w:pPr>
            <w:r>
              <w:rPr>
                <w:color w:val="44546A"/>
                <w:sz w:val="24"/>
                <w:szCs w:val="24"/>
              </w:rPr>
              <w:t>95%</w:t>
            </w:r>
          </w:p>
        </w:tc>
      </w:tr>
      <w:tr w:rsidR="00EC7209" w14:paraId="1D1C1C96" w14:textId="77777777" w:rsidTr="00EC7209">
        <w:tc>
          <w:tcPr>
            <w:tcW w:w="6236" w:type="dxa"/>
          </w:tcPr>
          <w:p w14:paraId="2C5E8321" w14:textId="72110A6D" w:rsidR="00EC7209" w:rsidRDefault="00EC7209" w:rsidP="003106D1">
            <w:pPr>
              <w:spacing w:before="120" w:after="120"/>
              <w:rPr>
                <w:color w:val="44546A"/>
                <w:sz w:val="24"/>
                <w:szCs w:val="24"/>
              </w:rPr>
            </w:pPr>
            <w:r>
              <w:rPr>
                <w:color w:val="44546A"/>
                <w:sz w:val="24"/>
                <w:szCs w:val="24"/>
              </w:rPr>
              <w:t>Urban</w:t>
            </w:r>
          </w:p>
        </w:tc>
        <w:tc>
          <w:tcPr>
            <w:tcW w:w="6237" w:type="dxa"/>
          </w:tcPr>
          <w:p w14:paraId="40D95185" w14:textId="18D311CF" w:rsidR="00EC7209" w:rsidRDefault="00EC7209" w:rsidP="003106D1">
            <w:pPr>
              <w:spacing w:before="120" w:after="120"/>
              <w:rPr>
                <w:color w:val="44546A"/>
                <w:sz w:val="24"/>
                <w:szCs w:val="24"/>
              </w:rPr>
            </w:pPr>
            <w:r>
              <w:rPr>
                <w:color w:val="44546A"/>
                <w:sz w:val="24"/>
                <w:szCs w:val="24"/>
              </w:rPr>
              <w:t xml:space="preserve">90% Confidence </w:t>
            </w:r>
            <w:r w:rsidR="005458A3">
              <w:rPr>
                <w:color w:val="44546A"/>
                <w:sz w:val="24"/>
                <w:szCs w:val="24"/>
              </w:rPr>
              <w:t xml:space="preserve">Level </w:t>
            </w:r>
            <w:r>
              <w:rPr>
                <w:color w:val="44546A"/>
                <w:sz w:val="24"/>
                <w:szCs w:val="24"/>
              </w:rPr>
              <w:t>with a 10% Interval</w:t>
            </w:r>
          </w:p>
        </w:tc>
        <w:tc>
          <w:tcPr>
            <w:tcW w:w="6237" w:type="dxa"/>
          </w:tcPr>
          <w:p w14:paraId="6C192E8F" w14:textId="5555575D" w:rsidR="00EC7209" w:rsidRDefault="00EC7209" w:rsidP="003106D1">
            <w:pPr>
              <w:spacing w:before="120" w:after="120"/>
              <w:rPr>
                <w:color w:val="44546A"/>
                <w:sz w:val="24"/>
                <w:szCs w:val="24"/>
              </w:rPr>
            </w:pPr>
            <w:r>
              <w:rPr>
                <w:color w:val="44546A"/>
                <w:sz w:val="24"/>
                <w:szCs w:val="24"/>
              </w:rPr>
              <w:t>95%</w:t>
            </w:r>
          </w:p>
        </w:tc>
      </w:tr>
      <w:tr w:rsidR="00EC7209" w14:paraId="605D2BAC" w14:textId="77777777" w:rsidTr="00EC7209">
        <w:tc>
          <w:tcPr>
            <w:tcW w:w="6236" w:type="dxa"/>
          </w:tcPr>
          <w:p w14:paraId="5A816B0D" w14:textId="5E80FBBE" w:rsidR="00EC7209" w:rsidRDefault="00EC7209" w:rsidP="003106D1">
            <w:pPr>
              <w:spacing w:before="120" w:after="120"/>
              <w:rPr>
                <w:color w:val="44546A"/>
                <w:sz w:val="24"/>
                <w:szCs w:val="24"/>
              </w:rPr>
            </w:pPr>
            <w:r>
              <w:rPr>
                <w:color w:val="44546A"/>
                <w:sz w:val="24"/>
                <w:szCs w:val="24"/>
              </w:rPr>
              <w:t>State-Owned Non-IMD</w:t>
            </w:r>
          </w:p>
        </w:tc>
        <w:tc>
          <w:tcPr>
            <w:tcW w:w="6237" w:type="dxa"/>
          </w:tcPr>
          <w:p w14:paraId="31F4B348" w14:textId="33C067ED" w:rsidR="00EC7209" w:rsidRDefault="00EC7209" w:rsidP="003106D1">
            <w:pPr>
              <w:spacing w:before="120" w:after="120"/>
              <w:rPr>
                <w:color w:val="44546A"/>
                <w:sz w:val="24"/>
                <w:szCs w:val="24"/>
              </w:rPr>
            </w:pPr>
            <w:r>
              <w:rPr>
                <w:color w:val="44546A"/>
                <w:sz w:val="24"/>
                <w:szCs w:val="24"/>
              </w:rPr>
              <w:t xml:space="preserve">95% Confidence </w:t>
            </w:r>
            <w:r w:rsidR="005458A3">
              <w:rPr>
                <w:color w:val="44546A"/>
                <w:sz w:val="24"/>
                <w:szCs w:val="24"/>
              </w:rPr>
              <w:t xml:space="preserve">Level </w:t>
            </w:r>
            <w:r>
              <w:rPr>
                <w:color w:val="44546A"/>
                <w:sz w:val="24"/>
                <w:szCs w:val="24"/>
              </w:rPr>
              <w:t>with a 5% Interval</w:t>
            </w:r>
          </w:p>
        </w:tc>
        <w:tc>
          <w:tcPr>
            <w:tcW w:w="6237" w:type="dxa"/>
          </w:tcPr>
          <w:p w14:paraId="138E97AB" w14:textId="343E7830" w:rsidR="00EC7209" w:rsidRDefault="00EC7209" w:rsidP="003106D1">
            <w:pPr>
              <w:spacing w:before="120" w:after="120"/>
              <w:rPr>
                <w:color w:val="44546A"/>
                <w:sz w:val="24"/>
                <w:szCs w:val="24"/>
              </w:rPr>
            </w:pPr>
            <w:r>
              <w:rPr>
                <w:color w:val="44546A"/>
                <w:sz w:val="24"/>
                <w:szCs w:val="24"/>
              </w:rPr>
              <w:t>95%</w:t>
            </w:r>
          </w:p>
        </w:tc>
      </w:tr>
    </w:tbl>
    <w:p w14:paraId="206868D5" w14:textId="77777777" w:rsidR="00EC7209" w:rsidRPr="003106D1" w:rsidRDefault="00EC7209" w:rsidP="003106D1">
      <w:pPr>
        <w:spacing w:before="120" w:after="120"/>
        <w:ind w:left="720"/>
        <w:rPr>
          <w:color w:val="44546A"/>
          <w:sz w:val="24"/>
          <w:szCs w:val="24"/>
        </w:rPr>
      </w:pPr>
    </w:p>
    <w:p w14:paraId="1487C09F" w14:textId="77777777" w:rsidR="003106D1" w:rsidRDefault="003106D1">
      <w:pPr>
        <w:rPr>
          <w:b/>
          <w:color w:val="44546A"/>
          <w:sz w:val="24"/>
          <w:szCs w:val="24"/>
        </w:rPr>
      </w:pPr>
    </w:p>
    <w:p w14:paraId="7E8934FD" w14:textId="25532A6D" w:rsidR="003106D1" w:rsidRDefault="001E7B3E" w:rsidP="001E7B3E">
      <w:pPr>
        <w:jc w:val="center"/>
        <w:rPr>
          <w:b/>
          <w:bCs/>
          <w:color w:val="44546A"/>
          <w:sz w:val="24"/>
          <w:szCs w:val="24"/>
        </w:rPr>
      </w:pPr>
      <w:r w:rsidRPr="001E7B3E">
        <w:rPr>
          <w:b/>
          <w:bCs/>
          <w:color w:val="44546A"/>
          <w:sz w:val="24"/>
          <w:szCs w:val="24"/>
        </w:rPr>
        <w:t>Year 1 Achievement Milestone Chart by Managed Care Model, Service Delivery Area, and Network Class Type</w:t>
      </w:r>
    </w:p>
    <w:p w14:paraId="049FC0EE" w14:textId="77777777" w:rsidR="001E7B3E" w:rsidRDefault="001E7B3E" w:rsidP="001E7B3E">
      <w:pPr>
        <w:jc w:val="center"/>
        <w:rPr>
          <w:b/>
          <w:bCs/>
          <w:color w:val="44546A"/>
          <w:sz w:val="24"/>
          <w:szCs w:val="24"/>
        </w:rPr>
      </w:pPr>
    </w:p>
    <w:tbl>
      <w:tblPr>
        <w:tblStyle w:val="TableGrid"/>
        <w:tblW w:w="0" w:type="auto"/>
        <w:tblLook w:val="04A0" w:firstRow="1" w:lastRow="0" w:firstColumn="1" w:lastColumn="0" w:noHBand="0" w:noVBand="1"/>
      </w:tblPr>
      <w:tblGrid>
        <w:gridCol w:w="2369"/>
        <w:gridCol w:w="2766"/>
        <w:gridCol w:w="6810"/>
        <w:gridCol w:w="6765"/>
      </w:tblGrid>
      <w:tr w:rsidR="00886A48" w:rsidRPr="00A95BEA" w14:paraId="3D93BEB5" w14:textId="77777777" w:rsidTr="00AA63D6">
        <w:trPr>
          <w:cnfStyle w:val="100000000000" w:firstRow="1" w:lastRow="0" w:firstColumn="0" w:lastColumn="0" w:oddVBand="0" w:evenVBand="0" w:oddHBand="0" w:evenHBand="0" w:firstRowFirstColumn="0" w:firstRowLastColumn="0" w:lastRowFirstColumn="0" w:lastRowLastColumn="0"/>
          <w:trHeight w:val="665"/>
        </w:trPr>
        <w:tc>
          <w:tcPr>
            <w:tcW w:w="0" w:type="auto"/>
            <w:hideMark/>
          </w:tcPr>
          <w:p w14:paraId="0158715F" w14:textId="77777777" w:rsidR="00A95BEA" w:rsidRPr="00A95BEA" w:rsidRDefault="00A95BEA" w:rsidP="00A95BEA">
            <w:pPr>
              <w:rPr>
                <w:color w:val="44546A"/>
                <w:sz w:val="24"/>
                <w:szCs w:val="24"/>
              </w:rPr>
            </w:pPr>
            <w:r w:rsidRPr="00A95BEA">
              <w:rPr>
                <w:color w:val="44546A"/>
                <w:sz w:val="24"/>
                <w:szCs w:val="24"/>
              </w:rPr>
              <w:t>Managed Care Model</w:t>
            </w:r>
          </w:p>
        </w:tc>
        <w:tc>
          <w:tcPr>
            <w:tcW w:w="0" w:type="auto"/>
            <w:hideMark/>
          </w:tcPr>
          <w:p w14:paraId="3901F652" w14:textId="77777777" w:rsidR="00A95BEA" w:rsidRPr="00A95BEA" w:rsidRDefault="00A95BEA" w:rsidP="00A95BEA">
            <w:pPr>
              <w:rPr>
                <w:color w:val="44546A"/>
                <w:sz w:val="24"/>
                <w:szCs w:val="24"/>
              </w:rPr>
            </w:pPr>
            <w:r w:rsidRPr="00A95BEA">
              <w:rPr>
                <w:color w:val="44546A"/>
                <w:sz w:val="24"/>
                <w:szCs w:val="24"/>
              </w:rPr>
              <w:t>Service Delivery Area</w:t>
            </w:r>
          </w:p>
        </w:tc>
        <w:tc>
          <w:tcPr>
            <w:tcW w:w="0" w:type="auto"/>
            <w:hideMark/>
          </w:tcPr>
          <w:p w14:paraId="1B537319" w14:textId="77777777" w:rsidR="00A95BEA" w:rsidRPr="00A95BEA" w:rsidRDefault="00A95BEA" w:rsidP="00A95BEA">
            <w:pPr>
              <w:rPr>
                <w:color w:val="44546A"/>
                <w:sz w:val="24"/>
                <w:szCs w:val="24"/>
              </w:rPr>
            </w:pPr>
            <w:r w:rsidRPr="00A95BEA">
              <w:rPr>
                <w:color w:val="44546A"/>
                <w:sz w:val="24"/>
                <w:szCs w:val="24"/>
              </w:rPr>
              <w:t>MCO Network Provider Type Associated with MCO Achievement Milestones</w:t>
            </w:r>
          </w:p>
        </w:tc>
        <w:tc>
          <w:tcPr>
            <w:tcW w:w="0" w:type="auto"/>
            <w:hideMark/>
          </w:tcPr>
          <w:p w14:paraId="6B7333B6" w14:textId="5A2DB2D0" w:rsidR="00A95BEA" w:rsidRPr="00A95BEA" w:rsidRDefault="00886A48" w:rsidP="00AA63D6">
            <w:pPr>
              <w:rPr>
                <w:color w:val="44546A"/>
                <w:sz w:val="24"/>
                <w:szCs w:val="24"/>
              </w:rPr>
            </w:pPr>
            <w:r>
              <w:rPr>
                <w:color w:val="44546A"/>
                <w:sz w:val="24"/>
                <w:szCs w:val="24"/>
              </w:rPr>
              <w:t xml:space="preserve"> Incentive Arrangement Earned Expressed as </w:t>
            </w:r>
            <w:r w:rsidR="00A95BEA" w:rsidRPr="00A95BEA">
              <w:rPr>
                <w:color w:val="44546A"/>
                <w:sz w:val="24"/>
                <w:szCs w:val="24"/>
              </w:rPr>
              <w:t>Percent of MCO Capitation</w:t>
            </w:r>
            <w:r>
              <w:rPr>
                <w:color w:val="44546A"/>
                <w:sz w:val="24"/>
                <w:szCs w:val="24"/>
              </w:rPr>
              <w:t xml:space="preserve"> Payments</w:t>
            </w:r>
          </w:p>
        </w:tc>
      </w:tr>
      <w:tr w:rsidR="00886A48" w:rsidRPr="00A95BEA" w14:paraId="23D04B2A" w14:textId="77777777" w:rsidTr="00AA63D6">
        <w:trPr>
          <w:trHeight w:val="315"/>
        </w:trPr>
        <w:tc>
          <w:tcPr>
            <w:tcW w:w="0" w:type="auto"/>
            <w:noWrap/>
            <w:hideMark/>
          </w:tcPr>
          <w:p w14:paraId="68080DA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801A395"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11ED36A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456DFB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4BA8B46" w14:textId="77777777" w:rsidTr="00AA63D6">
        <w:trPr>
          <w:trHeight w:val="315"/>
        </w:trPr>
        <w:tc>
          <w:tcPr>
            <w:tcW w:w="0" w:type="auto"/>
            <w:noWrap/>
            <w:hideMark/>
          </w:tcPr>
          <w:p w14:paraId="08E0572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17B9B21"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1DFB0A6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2CB8503"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7467DEA2" w14:textId="77777777" w:rsidTr="00AA63D6">
        <w:trPr>
          <w:trHeight w:val="315"/>
        </w:trPr>
        <w:tc>
          <w:tcPr>
            <w:tcW w:w="0" w:type="auto"/>
            <w:noWrap/>
            <w:hideMark/>
          </w:tcPr>
          <w:p w14:paraId="537DC55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B0843F8"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27243EC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488852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7756900" w14:textId="77777777" w:rsidTr="00AA63D6">
        <w:trPr>
          <w:trHeight w:val="315"/>
        </w:trPr>
        <w:tc>
          <w:tcPr>
            <w:tcW w:w="0" w:type="auto"/>
            <w:noWrap/>
            <w:hideMark/>
          </w:tcPr>
          <w:p w14:paraId="4FD4EE0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6BC6214"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740B637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3F2DF82"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4F23C0D6" w14:textId="77777777" w:rsidTr="00AA63D6">
        <w:trPr>
          <w:trHeight w:val="315"/>
        </w:trPr>
        <w:tc>
          <w:tcPr>
            <w:tcW w:w="0" w:type="auto"/>
            <w:noWrap/>
            <w:hideMark/>
          </w:tcPr>
          <w:p w14:paraId="7E49F8B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6D69A6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21ED73A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D7A7D40"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39BC8CB3" w14:textId="77777777" w:rsidTr="00AA63D6">
        <w:trPr>
          <w:trHeight w:val="315"/>
        </w:trPr>
        <w:tc>
          <w:tcPr>
            <w:tcW w:w="0" w:type="auto"/>
            <w:noWrap/>
            <w:hideMark/>
          </w:tcPr>
          <w:p w14:paraId="29A9C19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0755EC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61C1E1B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5FD1932"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2980285C" w14:textId="77777777" w:rsidTr="00AA63D6">
        <w:trPr>
          <w:trHeight w:val="315"/>
        </w:trPr>
        <w:tc>
          <w:tcPr>
            <w:tcW w:w="0" w:type="auto"/>
            <w:noWrap/>
            <w:hideMark/>
          </w:tcPr>
          <w:p w14:paraId="116E7A5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657D769"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2EFAA6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F68909A"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EB92B00" w14:textId="77777777" w:rsidTr="00AA63D6">
        <w:trPr>
          <w:trHeight w:val="315"/>
        </w:trPr>
        <w:tc>
          <w:tcPr>
            <w:tcW w:w="0" w:type="auto"/>
            <w:noWrap/>
            <w:hideMark/>
          </w:tcPr>
          <w:p w14:paraId="349915A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FE1A04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DCDDAF8"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D563197"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0814C769" w14:textId="77777777" w:rsidTr="00AA63D6">
        <w:trPr>
          <w:trHeight w:val="315"/>
        </w:trPr>
        <w:tc>
          <w:tcPr>
            <w:tcW w:w="0" w:type="auto"/>
            <w:noWrap/>
            <w:hideMark/>
          </w:tcPr>
          <w:p w14:paraId="70B35AD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BB1D58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058B49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613FE6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5ACD958" w14:textId="77777777" w:rsidTr="00AA63D6">
        <w:trPr>
          <w:trHeight w:val="315"/>
        </w:trPr>
        <w:tc>
          <w:tcPr>
            <w:tcW w:w="0" w:type="auto"/>
            <w:noWrap/>
            <w:hideMark/>
          </w:tcPr>
          <w:p w14:paraId="2032CDE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810F63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DC1C49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DA09CD1"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686F227E" w14:textId="77777777" w:rsidTr="00AA63D6">
        <w:trPr>
          <w:trHeight w:val="315"/>
        </w:trPr>
        <w:tc>
          <w:tcPr>
            <w:tcW w:w="0" w:type="auto"/>
            <w:noWrap/>
            <w:hideMark/>
          </w:tcPr>
          <w:p w14:paraId="531AA92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0D8597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46ED26B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2F1FC77"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0ED235B" w14:textId="77777777" w:rsidTr="00AA63D6">
        <w:trPr>
          <w:trHeight w:val="315"/>
        </w:trPr>
        <w:tc>
          <w:tcPr>
            <w:tcW w:w="0" w:type="auto"/>
            <w:noWrap/>
            <w:hideMark/>
          </w:tcPr>
          <w:p w14:paraId="0A8B1DA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5FC8BDF"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48EB073"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113D55D"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7E3D7126" w14:textId="77777777" w:rsidTr="00AA63D6">
        <w:trPr>
          <w:trHeight w:val="315"/>
        </w:trPr>
        <w:tc>
          <w:tcPr>
            <w:tcW w:w="0" w:type="auto"/>
            <w:noWrap/>
            <w:hideMark/>
          </w:tcPr>
          <w:p w14:paraId="14723A58" w14:textId="77777777" w:rsidR="00A95BEA" w:rsidRPr="00A95BEA" w:rsidRDefault="00A95BEA" w:rsidP="00A95BEA">
            <w:pPr>
              <w:jc w:val="center"/>
              <w:rPr>
                <w:b/>
                <w:color w:val="44546A"/>
                <w:sz w:val="24"/>
                <w:szCs w:val="24"/>
              </w:rPr>
            </w:pPr>
            <w:r w:rsidRPr="00A95BEA">
              <w:rPr>
                <w:b/>
                <w:color w:val="44546A"/>
                <w:sz w:val="24"/>
                <w:szCs w:val="24"/>
              </w:rPr>
              <w:lastRenderedPageBreak/>
              <w:t>STAR</w:t>
            </w:r>
          </w:p>
        </w:tc>
        <w:tc>
          <w:tcPr>
            <w:tcW w:w="0" w:type="auto"/>
            <w:noWrap/>
            <w:hideMark/>
          </w:tcPr>
          <w:p w14:paraId="7D35051A"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7611AD0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F28E09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2C045013" w14:textId="77777777" w:rsidTr="00AA63D6">
        <w:trPr>
          <w:trHeight w:val="315"/>
        </w:trPr>
        <w:tc>
          <w:tcPr>
            <w:tcW w:w="0" w:type="auto"/>
            <w:noWrap/>
            <w:hideMark/>
          </w:tcPr>
          <w:p w14:paraId="162AACA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E2E413B"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F8967F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56698E4" w14:textId="77777777" w:rsidR="00A95BEA" w:rsidRPr="00A95BEA" w:rsidRDefault="00A95BEA" w:rsidP="00A95BEA">
            <w:pPr>
              <w:jc w:val="center"/>
              <w:rPr>
                <w:b/>
                <w:color w:val="44546A"/>
                <w:sz w:val="24"/>
                <w:szCs w:val="24"/>
              </w:rPr>
            </w:pPr>
            <w:r w:rsidRPr="00A95BEA">
              <w:rPr>
                <w:b/>
                <w:color w:val="44546A"/>
                <w:sz w:val="24"/>
                <w:szCs w:val="24"/>
              </w:rPr>
              <w:t>0.10%</w:t>
            </w:r>
          </w:p>
        </w:tc>
      </w:tr>
      <w:tr w:rsidR="00886A48" w:rsidRPr="00A95BEA" w14:paraId="20856415" w14:textId="77777777" w:rsidTr="00AA63D6">
        <w:trPr>
          <w:trHeight w:val="315"/>
        </w:trPr>
        <w:tc>
          <w:tcPr>
            <w:tcW w:w="0" w:type="auto"/>
            <w:noWrap/>
            <w:hideMark/>
          </w:tcPr>
          <w:p w14:paraId="3C80BC4C"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1C48FD2"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5CCE277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BCC87D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621541CD" w14:textId="77777777" w:rsidTr="00AA63D6">
        <w:trPr>
          <w:trHeight w:val="315"/>
        </w:trPr>
        <w:tc>
          <w:tcPr>
            <w:tcW w:w="0" w:type="auto"/>
            <w:noWrap/>
            <w:hideMark/>
          </w:tcPr>
          <w:p w14:paraId="385D4D0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E60BF63"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109B1B8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97AAB95" w14:textId="77777777" w:rsidR="00A95BEA" w:rsidRPr="00A95BEA" w:rsidRDefault="00A95BEA" w:rsidP="00A95BEA">
            <w:pPr>
              <w:jc w:val="center"/>
              <w:rPr>
                <w:b/>
                <w:color w:val="44546A"/>
                <w:sz w:val="24"/>
                <w:szCs w:val="24"/>
              </w:rPr>
            </w:pPr>
            <w:r w:rsidRPr="00A95BEA">
              <w:rPr>
                <w:b/>
                <w:color w:val="44546A"/>
                <w:sz w:val="24"/>
                <w:szCs w:val="24"/>
              </w:rPr>
              <w:t>3.90%</w:t>
            </w:r>
          </w:p>
        </w:tc>
      </w:tr>
      <w:tr w:rsidR="00886A48" w:rsidRPr="00A95BEA" w14:paraId="74A56589" w14:textId="77777777" w:rsidTr="00AA63D6">
        <w:trPr>
          <w:trHeight w:val="315"/>
        </w:trPr>
        <w:tc>
          <w:tcPr>
            <w:tcW w:w="0" w:type="auto"/>
            <w:noWrap/>
            <w:hideMark/>
          </w:tcPr>
          <w:p w14:paraId="648A4B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86D71E3"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09B6CE3C"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512933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9D23661" w14:textId="77777777" w:rsidTr="00AA63D6">
        <w:trPr>
          <w:trHeight w:val="315"/>
        </w:trPr>
        <w:tc>
          <w:tcPr>
            <w:tcW w:w="0" w:type="auto"/>
            <w:noWrap/>
            <w:hideMark/>
          </w:tcPr>
          <w:p w14:paraId="08353574"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C506034"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3287AC8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9F22716"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4C7D446D" w14:textId="77777777" w:rsidTr="00AA63D6">
        <w:trPr>
          <w:trHeight w:val="315"/>
        </w:trPr>
        <w:tc>
          <w:tcPr>
            <w:tcW w:w="0" w:type="auto"/>
            <w:noWrap/>
            <w:hideMark/>
          </w:tcPr>
          <w:p w14:paraId="107D1AB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A7641C9"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5C6800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B2B7039"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764E5A" w14:textId="77777777" w:rsidTr="00AA63D6">
        <w:trPr>
          <w:trHeight w:val="315"/>
        </w:trPr>
        <w:tc>
          <w:tcPr>
            <w:tcW w:w="0" w:type="auto"/>
            <w:noWrap/>
            <w:hideMark/>
          </w:tcPr>
          <w:p w14:paraId="7CB6DE0A"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E711AAD"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241907D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F4E5DED"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B349158" w14:textId="77777777" w:rsidTr="00AA63D6">
        <w:trPr>
          <w:trHeight w:val="315"/>
        </w:trPr>
        <w:tc>
          <w:tcPr>
            <w:tcW w:w="0" w:type="auto"/>
            <w:noWrap/>
            <w:hideMark/>
          </w:tcPr>
          <w:p w14:paraId="51A892E8"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B18C1AC"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0FCAB2D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E3B7CE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7D8E8A1" w14:textId="77777777" w:rsidTr="00AA63D6">
        <w:trPr>
          <w:trHeight w:val="315"/>
        </w:trPr>
        <w:tc>
          <w:tcPr>
            <w:tcW w:w="0" w:type="auto"/>
            <w:noWrap/>
            <w:hideMark/>
          </w:tcPr>
          <w:p w14:paraId="2AB8E9E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2F25CC0"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76DCE1B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2CB99D3"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2C5164B0" w14:textId="77777777" w:rsidTr="00AA63D6">
        <w:trPr>
          <w:trHeight w:val="315"/>
        </w:trPr>
        <w:tc>
          <w:tcPr>
            <w:tcW w:w="0" w:type="auto"/>
            <w:noWrap/>
            <w:hideMark/>
          </w:tcPr>
          <w:p w14:paraId="47612C1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5E4A898"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024CB4C"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E981B0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7DB0D3C" w14:textId="77777777" w:rsidTr="00AA63D6">
        <w:trPr>
          <w:trHeight w:val="315"/>
        </w:trPr>
        <w:tc>
          <w:tcPr>
            <w:tcW w:w="0" w:type="auto"/>
            <w:noWrap/>
            <w:hideMark/>
          </w:tcPr>
          <w:p w14:paraId="49906DB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4CD9451"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1DBFBFE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03261B4"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247B4543" w14:textId="77777777" w:rsidTr="00AA63D6">
        <w:trPr>
          <w:trHeight w:val="315"/>
        </w:trPr>
        <w:tc>
          <w:tcPr>
            <w:tcW w:w="0" w:type="auto"/>
            <w:noWrap/>
            <w:hideMark/>
          </w:tcPr>
          <w:p w14:paraId="79977E4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3D44E92"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2D71CB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17584FA"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0F6B8CB" w14:textId="77777777" w:rsidTr="00AA63D6">
        <w:trPr>
          <w:trHeight w:val="315"/>
        </w:trPr>
        <w:tc>
          <w:tcPr>
            <w:tcW w:w="0" w:type="auto"/>
            <w:noWrap/>
            <w:hideMark/>
          </w:tcPr>
          <w:p w14:paraId="281CD8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59889B0"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77E71C8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83E169F"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10913FBC" w14:textId="77777777" w:rsidTr="00AA63D6">
        <w:trPr>
          <w:trHeight w:val="315"/>
        </w:trPr>
        <w:tc>
          <w:tcPr>
            <w:tcW w:w="0" w:type="auto"/>
            <w:noWrap/>
            <w:hideMark/>
          </w:tcPr>
          <w:p w14:paraId="141BEDE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E83A76B"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6BBA7EA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C9AFAB7"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4060113" w14:textId="77777777" w:rsidTr="00AA63D6">
        <w:trPr>
          <w:trHeight w:val="315"/>
        </w:trPr>
        <w:tc>
          <w:tcPr>
            <w:tcW w:w="0" w:type="auto"/>
            <w:noWrap/>
            <w:hideMark/>
          </w:tcPr>
          <w:p w14:paraId="2F46CF8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A93A19E"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1CABF9C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C98FBF1"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204E87EC" w14:textId="77777777" w:rsidTr="00AA63D6">
        <w:trPr>
          <w:trHeight w:val="315"/>
        </w:trPr>
        <w:tc>
          <w:tcPr>
            <w:tcW w:w="0" w:type="auto"/>
            <w:noWrap/>
            <w:hideMark/>
          </w:tcPr>
          <w:p w14:paraId="55641C6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CA287D6"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02421694"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C68ECB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690147" w14:textId="77777777" w:rsidTr="00AA63D6">
        <w:trPr>
          <w:trHeight w:val="315"/>
        </w:trPr>
        <w:tc>
          <w:tcPr>
            <w:tcW w:w="0" w:type="auto"/>
            <w:noWrap/>
            <w:hideMark/>
          </w:tcPr>
          <w:p w14:paraId="7FC125DF"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FD6E49B"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620CED3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4F642AF" w14:textId="77777777" w:rsidR="00A95BEA" w:rsidRPr="00A95BEA" w:rsidRDefault="00A95BEA" w:rsidP="00A95BEA">
            <w:pPr>
              <w:jc w:val="center"/>
              <w:rPr>
                <w:b/>
                <w:color w:val="44546A"/>
                <w:sz w:val="24"/>
                <w:szCs w:val="24"/>
              </w:rPr>
            </w:pPr>
            <w:r w:rsidRPr="00A95BEA">
              <w:rPr>
                <w:b/>
                <w:color w:val="44546A"/>
                <w:sz w:val="24"/>
                <w:szCs w:val="24"/>
              </w:rPr>
              <w:t>1.75%</w:t>
            </w:r>
          </w:p>
        </w:tc>
      </w:tr>
      <w:tr w:rsidR="00886A48" w:rsidRPr="00A95BEA" w14:paraId="79CCE14A" w14:textId="77777777" w:rsidTr="00AA63D6">
        <w:trPr>
          <w:trHeight w:val="315"/>
        </w:trPr>
        <w:tc>
          <w:tcPr>
            <w:tcW w:w="0" w:type="auto"/>
            <w:noWrap/>
            <w:hideMark/>
          </w:tcPr>
          <w:p w14:paraId="5562C22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8BE54D0"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48C88DD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0F59E75"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7336686" w14:textId="77777777" w:rsidTr="00AA63D6">
        <w:trPr>
          <w:trHeight w:val="315"/>
        </w:trPr>
        <w:tc>
          <w:tcPr>
            <w:tcW w:w="0" w:type="auto"/>
            <w:noWrap/>
            <w:hideMark/>
          </w:tcPr>
          <w:p w14:paraId="43EBDE93"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4AC68FA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3E8118B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99DD64E" w14:textId="77777777" w:rsidR="00A95BEA" w:rsidRPr="00A95BEA" w:rsidRDefault="00A95BEA" w:rsidP="00A95BEA">
            <w:pPr>
              <w:jc w:val="center"/>
              <w:rPr>
                <w:b/>
                <w:color w:val="44546A"/>
                <w:sz w:val="24"/>
                <w:szCs w:val="24"/>
              </w:rPr>
            </w:pPr>
            <w:r w:rsidRPr="00A95BEA">
              <w:rPr>
                <w:b/>
                <w:color w:val="44546A"/>
                <w:sz w:val="24"/>
                <w:szCs w:val="24"/>
              </w:rPr>
              <w:t>3.25%</w:t>
            </w:r>
          </w:p>
        </w:tc>
      </w:tr>
      <w:tr w:rsidR="00886A48" w:rsidRPr="00A95BEA" w14:paraId="2634ABC6" w14:textId="77777777" w:rsidTr="00AA63D6">
        <w:trPr>
          <w:trHeight w:val="315"/>
        </w:trPr>
        <w:tc>
          <w:tcPr>
            <w:tcW w:w="0" w:type="auto"/>
            <w:noWrap/>
            <w:hideMark/>
          </w:tcPr>
          <w:p w14:paraId="49F0E3A4"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959F6ED"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4B62AE9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3D10EE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8226BDB" w14:textId="77777777" w:rsidTr="00AA63D6">
        <w:trPr>
          <w:trHeight w:val="315"/>
        </w:trPr>
        <w:tc>
          <w:tcPr>
            <w:tcW w:w="0" w:type="auto"/>
            <w:noWrap/>
            <w:hideMark/>
          </w:tcPr>
          <w:p w14:paraId="4DAEA33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FB78DF4"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7FCDACD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06CC731"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2ACF3DCB" w14:textId="77777777" w:rsidTr="00AA63D6">
        <w:trPr>
          <w:trHeight w:val="315"/>
        </w:trPr>
        <w:tc>
          <w:tcPr>
            <w:tcW w:w="0" w:type="auto"/>
            <w:noWrap/>
            <w:hideMark/>
          </w:tcPr>
          <w:p w14:paraId="1B908E3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3ACD622"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89F9D6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4E6599EF"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F8A403B" w14:textId="77777777" w:rsidTr="00AA63D6">
        <w:trPr>
          <w:trHeight w:val="315"/>
        </w:trPr>
        <w:tc>
          <w:tcPr>
            <w:tcW w:w="0" w:type="auto"/>
            <w:noWrap/>
            <w:hideMark/>
          </w:tcPr>
          <w:p w14:paraId="6B8251A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183B417"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4A074DA"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AAFA644"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4473677E" w14:textId="77777777" w:rsidTr="00AA63D6">
        <w:trPr>
          <w:trHeight w:val="315"/>
        </w:trPr>
        <w:tc>
          <w:tcPr>
            <w:tcW w:w="0" w:type="auto"/>
            <w:noWrap/>
            <w:hideMark/>
          </w:tcPr>
          <w:p w14:paraId="45CED82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B46777E"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962E48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1E6F5D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2E9F0B0" w14:textId="77777777" w:rsidTr="00AA63D6">
        <w:trPr>
          <w:trHeight w:val="315"/>
        </w:trPr>
        <w:tc>
          <w:tcPr>
            <w:tcW w:w="0" w:type="auto"/>
            <w:noWrap/>
            <w:hideMark/>
          </w:tcPr>
          <w:p w14:paraId="1A5633C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80E0FF1"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E8693E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BE4C86E"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66CCBB29" w14:textId="77777777" w:rsidTr="00AA63D6">
        <w:trPr>
          <w:trHeight w:val="315"/>
        </w:trPr>
        <w:tc>
          <w:tcPr>
            <w:tcW w:w="0" w:type="auto"/>
            <w:noWrap/>
            <w:hideMark/>
          </w:tcPr>
          <w:p w14:paraId="53C369C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ABDC8F8"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2DD3851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26A6C47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B2422D8" w14:textId="77777777" w:rsidTr="00AA63D6">
        <w:trPr>
          <w:trHeight w:val="315"/>
        </w:trPr>
        <w:tc>
          <w:tcPr>
            <w:tcW w:w="0" w:type="auto"/>
            <w:noWrap/>
            <w:hideMark/>
          </w:tcPr>
          <w:p w14:paraId="5735063C" w14:textId="77777777" w:rsidR="00A95BEA" w:rsidRPr="00A95BEA" w:rsidRDefault="00A95BEA" w:rsidP="00A95BEA">
            <w:pPr>
              <w:jc w:val="center"/>
              <w:rPr>
                <w:b/>
                <w:color w:val="44546A"/>
                <w:sz w:val="24"/>
                <w:szCs w:val="24"/>
              </w:rPr>
            </w:pPr>
            <w:r w:rsidRPr="00A95BEA">
              <w:rPr>
                <w:b/>
                <w:color w:val="44546A"/>
                <w:sz w:val="24"/>
                <w:szCs w:val="24"/>
              </w:rPr>
              <w:lastRenderedPageBreak/>
              <w:t>STAR</w:t>
            </w:r>
          </w:p>
        </w:tc>
        <w:tc>
          <w:tcPr>
            <w:tcW w:w="0" w:type="auto"/>
            <w:noWrap/>
            <w:hideMark/>
          </w:tcPr>
          <w:p w14:paraId="283D0CAE"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91C43B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C5F3293"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5DF438EE" w14:textId="77777777" w:rsidTr="00AA63D6">
        <w:trPr>
          <w:trHeight w:val="315"/>
        </w:trPr>
        <w:tc>
          <w:tcPr>
            <w:tcW w:w="0" w:type="auto"/>
            <w:noWrap/>
            <w:hideMark/>
          </w:tcPr>
          <w:p w14:paraId="44599275"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B54721D"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31AA93A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7F06F8C"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26B71DB9" w14:textId="77777777" w:rsidTr="00AA63D6">
        <w:trPr>
          <w:trHeight w:val="315"/>
        </w:trPr>
        <w:tc>
          <w:tcPr>
            <w:tcW w:w="0" w:type="auto"/>
            <w:noWrap/>
            <w:hideMark/>
          </w:tcPr>
          <w:p w14:paraId="7D38F207"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0CA9E225"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6C55529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04F8BE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1B88C5F5" w14:textId="77777777" w:rsidTr="00AA63D6">
        <w:trPr>
          <w:trHeight w:val="315"/>
        </w:trPr>
        <w:tc>
          <w:tcPr>
            <w:tcW w:w="0" w:type="auto"/>
            <w:noWrap/>
            <w:hideMark/>
          </w:tcPr>
          <w:p w14:paraId="59FBFEE6"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36E9C57"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357086D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8F148F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B6571C0" w14:textId="77777777" w:rsidTr="00AA63D6">
        <w:trPr>
          <w:trHeight w:val="315"/>
        </w:trPr>
        <w:tc>
          <w:tcPr>
            <w:tcW w:w="0" w:type="auto"/>
            <w:noWrap/>
            <w:hideMark/>
          </w:tcPr>
          <w:p w14:paraId="691F118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7EF8955"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6B746B4D"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C45589D"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7AF6388E" w14:textId="77777777" w:rsidTr="00AA63D6">
        <w:trPr>
          <w:trHeight w:val="315"/>
        </w:trPr>
        <w:tc>
          <w:tcPr>
            <w:tcW w:w="0" w:type="auto"/>
            <w:noWrap/>
            <w:hideMark/>
          </w:tcPr>
          <w:p w14:paraId="3DC9B030"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D78E851"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2275653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CB79C5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A65A995" w14:textId="77777777" w:rsidTr="00AA63D6">
        <w:trPr>
          <w:trHeight w:val="315"/>
        </w:trPr>
        <w:tc>
          <w:tcPr>
            <w:tcW w:w="0" w:type="auto"/>
            <w:noWrap/>
            <w:hideMark/>
          </w:tcPr>
          <w:p w14:paraId="52E49632"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2662EAAF"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3BD2125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5167A7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044F341" w14:textId="77777777" w:rsidTr="00AA63D6">
        <w:trPr>
          <w:trHeight w:val="315"/>
        </w:trPr>
        <w:tc>
          <w:tcPr>
            <w:tcW w:w="0" w:type="auto"/>
            <w:noWrap/>
            <w:hideMark/>
          </w:tcPr>
          <w:p w14:paraId="39279E5C"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3FF2F21C"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663EE8F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67C794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2DDC009" w14:textId="77777777" w:rsidTr="00AA63D6">
        <w:trPr>
          <w:trHeight w:val="315"/>
        </w:trPr>
        <w:tc>
          <w:tcPr>
            <w:tcW w:w="0" w:type="auto"/>
            <w:noWrap/>
            <w:hideMark/>
          </w:tcPr>
          <w:p w14:paraId="3034DE61"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7743F9F0"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5D8701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B4FE3A9"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322406D8" w14:textId="77777777" w:rsidTr="00AA63D6">
        <w:trPr>
          <w:trHeight w:val="315"/>
        </w:trPr>
        <w:tc>
          <w:tcPr>
            <w:tcW w:w="0" w:type="auto"/>
            <w:noWrap/>
            <w:hideMark/>
          </w:tcPr>
          <w:p w14:paraId="301CD37D"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5CEA416B"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21DC8C0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4F3A595"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37A98B9" w14:textId="77777777" w:rsidTr="00AA63D6">
        <w:trPr>
          <w:trHeight w:val="315"/>
        </w:trPr>
        <w:tc>
          <w:tcPr>
            <w:tcW w:w="0" w:type="auto"/>
            <w:noWrap/>
            <w:hideMark/>
          </w:tcPr>
          <w:p w14:paraId="2B274B6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D84C4C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097EB52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5CF87A59"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13837295" w14:textId="77777777" w:rsidTr="00AA63D6">
        <w:trPr>
          <w:trHeight w:val="315"/>
        </w:trPr>
        <w:tc>
          <w:tcPr>
            <w:tcW w:w="0" w:type="auto"/>
            <w:noWrap/>
            <w:hideMark/>
          </w:tcPr>
          <w:p w14:paraId="5141DCBA"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66BDBE82"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842737F"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485582B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8F219CF" w14:textId="77777777" w:rsidTr="00AA63D6">
        <w:trPr>
          <w:trHeight w:val="315"/>
        </w:trPr>
        <w:tc>
          <w:tcPr>
            <w:tcW w:w="0" w:type="auto"/>
            <w:noWrap/>
            <w:hideMark/>
          </w:tcPr>
          <w:p w14:paraId="34CF6D09" w14:textId="77777777" w:rsidR="00A95BEA" w:rsidRPr="00A95BEA" w:rsidRDefault="00A95BEA" w:rsidP="00A95BEA">
            <w:pPr>
              <w:jc w:val="center"/>
              <w:rPr>
                <w:b/>
                <w:color w:val="44546A"/>
                <w:sz w:val="24"/>
                <w:szCs w:val="24"/>
              </w:rPr>
            </w:pPr>
            <w:r w:rsidRPr="00A95BEA">
              <w:rPr>
                <w:b/>
                <w:color w:val="44546A"/>
                <w:sz w:val="24"/>
                <w:szCs w:val="24"/>
              </w:rPr>
              <w:t>STAR</w:t>
            </w:r>
          </w:p>
        </w:tc>
        <w:tc>
          <w:tcPr>
            <w:tcW w:w="0" w:type="auto"/>
            <w:noWrap/>
            <w:hideMark/>
          </w:tcPr>
          <w:p w14:paraId="1496C0DF"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7671F33D"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C8D6F43" w14:textId="77777777" w:rsidR="00A95BEA" w:rsidRPr="00A95BEA" w:rsidRDefault="00A95BEA" w:rsidP="00A95BEA">
            <w:pPr>
              <w:jc w:val="center"/>
              <w:rPr>
                <w:b/>
                <w:color w:val="44546A"/>
                <w:sz w:val="24"/>
                <w:szCs w:val="24"/>
              </w:rPr>
            </w:pPr>
            <w:r w:rsidRPr="00A95BEA">
              <w:rPr>
                <w:b/>
                <w:color w:val="44546A"/>
                <w:sz w:val="24"/>
                <w:szCs w:val="24"/>
              </w:rPr>
              <w:t>3.75%</w:t>
            </w:r>
          </w:p>
        </w:tc>
      </w:tr>
      <w:tr w:rsidR="00886A48" w:rsidRPr="00A95BEA" w14:paraId="6712C928" w14:textId="77777777" w:rsidTr="00AA63D6">
        <w:trPr>
          <w:trHeight w:val="315"/>
        </w:trPr>
        <w:tc>
          <w:tcPr>
            <w:tcW w:w="0" w:type="auto"/>
            <w:noWrap/>
            <w:hideMark/>
          </w:tcPr>
          <w:p w14:paraId="6AD4E41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43EB0DB"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7413701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8BFF47B"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C1C04AE" w14:textId="77777777" w:rsidTr="00AA63D6">
        <w:trPr>
          <w:trHeight w:val="315"/>
        </w:trPr>
        <w:tc>
          <w:tcPr>
            <w:tcW w:w="0" w:type="auto"/>
            <w:noWrap/>
            <w:hideMark/>
          </w:tcPr>
          <w:p w14:paraId="56BBDF6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075F3B2"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4812AA8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F243BE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88401FD" w14:textId="77777777" w:rsidTr="00AA63D6">
        <w:trPr>
          <w:trHeight w:val="315"/>
        </w:trPr>
        <w:tc>
          <w:tcPr>
            <w:tcW w:w="0" w:type="auto"/>
            <w:noWrap/>
            <w:hideMark/>
          </w:tcPr>
          <w:p w14:paraId="59EC84A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1A9641D"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3A7292E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879ECF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406A171" w14:textId="77777777" w:rsidTr="00AA63D6">
        <w:trPr>
          <w:trHeight w:val="315"/>
        </w:trPr>
        <w:tc>
          <w:tcPr>
            <w:tcW w:w="0" w:type="auto"/>
            <w:noWrap/>
            <w:hideMark/>
          </w:tcPr>
          <w:p w14:paraId="5B4D2D5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3AD121B2"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0406814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899816B"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EB7824B" w14:textId="77777777" w:rsidTr="00AA63D6">
        <w:trPr>
          <w:trHeight w:val="315"/>
        </w:trPr>
        <w:tc>
          <w:tcPr>
            <w:tcW w:w="0" w:type="auto"/>
            <w:noWrap/>
            <w:hideMark/>
          </w:tcPr>
          <w:p w14:paraId="0D6C2F0A"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A5554F3"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6A8983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CE52B37"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C693800" w14:textId="77777777" w:rsidTr="00AA63D6">
        <w:trPr>
          <w:trHeight w:val="315"/>
        </w:trPr>
        <w:tc>
          <w:tcPr>
            <w:tcW w:w="0" w:type="auto"/>
            <w:noWrap/>
            <w:hideMark/>
          </w:tcPr>
          <w:p w14:paraId="710E629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EA2C6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65B63F8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BB1507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9E25905" w14:textId="77777777" w:rsidTr="00AA63D6">
        <w:trPr>
          <w:trHeight w:val="315"/>
        </w:trPr>
        <w:tc>
          <w:tcPr>
            <w:tcW w:w="0" w:type="auto"/>
            <w:noWrap/>
            <w:hideMark/>
          </w:tcPr>
          <w:p w14:paraId="6B96567A"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180778B"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876AE4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C093FD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793709D" w14:textId="77777777" w:rsidTr="00AA63D6">
        <w:trPr>
          <w:trHeight w:val="315"/>
        </w:trPr>
        <w:tc>
          <w:tcPr>
            <w:tcW w:w="0" w:type="auto"/>
            <w:noWrap/>
            <w:hideMark/>
          </w:tcPr>
          <w:p w14:paraId="0B7DE6B7"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808C269"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03171E60"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8F4EF77"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4C7BF8C0" w14:textId="77777777" w:rsidTr="00AA63D6">
        <w:trPr>
          <w:trHeight w:val="315"/>
        </w:trPr>
        <w:tc>
          <w:tcPr>
            <w:tcW w:w="0" w:type="auto"/>
            <w:noWrap/>
            <w:hideMark/>
          </w:tcPr>
          <w:p w14:paraId="4E54135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A770EC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147ED325"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076E6AA"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3824EDBD" w14:textId="77777777" w:rsidTr="00AA63D6">
        <w:trPr>
          <w:trHeight w:val="315"/>
        </w:trPr>
        <w:tc>
          <w:tcPr>
            <w:tcW w:w="0" w:type="auto"/>
            <w:noWrap/>
            <w:hideMark/>
          </w:tcPr>
          <w:p w14:paraId="4B02B44B"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1CB733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350FFA3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10000A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3AFE661" w14:textId="77777777" w:rsidTr="00AA63D6">
        <w:trPr>
          <w:trHeight w:val="315"/>
        </w:trPr>
        <w:tc>
          <w:tcPr>
            <w:tcW w:w="0" w:type="auto"/>
            <w:noWrap/>
            <w:hideMark/>
          </w:tcPr>
          <w:p w14:paraId="7BC14F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2239F3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B9F1D4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2320328"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AEF6113" w14:textId="77777777" w:rsidTr="00AA63D6">
        <w:trPr>
          <w:trHeight w:val="315"/>
        </w:trPr>
        <w:tc>
          <w:tcPr>
            <w:tcW w:w="0" w:type="auto"/>
            <w:noWrap/>
            <w:hideMark/>
          </w:tcPr>
          <w:p w14:paraId="6E25F0B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08FFE96"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6F26883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443DFD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46999FD" w14:textId="77777777" w:rsidTr="00AA63D6">
        <w:trPr>
          <w:trHeight w:val="315"/>
        </w:trPr>
        <w:tc>
          <w:tcPr>
            <w:tcW w:w="0" w:type="auto"/>
            <w:noWrap/>
            <w:hideMark/>
          </w:tcPr>
          <w:p w14:paraId="3C6BD63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004E9CC"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278A025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488852A"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784F8512" w14:textId="77777777" w:rsidTr="00AA63D6">
        <w:trPr>
          <w:trHeight w:val="315"/>
        </w:trPr>
        <w:tc>
          <w:tcPr>
            <w:tcW w:w="0" w:type="auto"/>
            <w:noWrap/>
            <w:hideMark/>
          </w:tcPr>
          <w:p w14:paraId="524550F5"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83F9CDF"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B71F6F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E1D624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F8EC08F" w14:textId="77777777" w:rsidTr="00AA63D6">
        <w:trPr>
          <w:trHeight w:val="315"/>
        </w:trPr>
        <w:tc>
          <w:tcPr>
            <w:tcW w:w="0" w:type="auto"/>
            <w:noWrap/>
            <w:hideMark/>
          </w:tcPr>
          <w:p w14:paraId="1DB0F090" w14:textId="77777777" w:rsidR="00A95BEA" w:rsidRPr="00A95BEA" w:rsidRDefault="00A95BEA" w:rsidP="00A95BEA">
            <w:pPr>
              <w:jc w:val="center"/>
              <w:rPr>
                <w:b/>
                <w:color w:val="44546A"/>
                <w:sz w:val="24"/>
                <w:szCs w:val="24"/>
              </w:rPr>
            </w:pPr>
            <w:r w:rsidRPr="00A95BEA">
              <w:rPr>
                <w:b/>
                <w:color w:val="44546A"/>
                <w:sz w:val="24"/>
                <w:szCs w:val="24"/>
              </w:rPr>
              <w:lastRenderedPageBreak/>
              <w:t>STAR Kids</w:t>
            </w:r>
          </w:p>
        </w:tc>
        <w:tc>
          <w:tcPr>
            <w:tcW w:w="0" w:type="auto"/>
            <w:noWrap/>
            <w:hideMark/>
          </w:tcPr>
          <w:p w14:paraId="280982E1"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0FEEBEE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51EF44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A03446A" w14:textId="77777777" w:rsidTr="00AA63D6">
        <w:trPr>
          <w:trHeight w:val="315"/>
        </w:trPr>
        <w:tc>
          <w:tcPr>
            <w:tcW w:w="0" w:type="auto"/>
            <w:noWrap/>
            <w:hideMark/>
          </w:tcPr>
          <w:p w14:paraId="427DE33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282E12A"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2204F1D5"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2BE4FAC"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1E1CBE1E" w14:textId="77777777" w:rsidTr="00AA63D6">
        <w:trPr>
          <w:trHeight w:val="315"/>
        </w:trPr>
        <w:tc>
          <w:tcPr>
            <w:tcW w:w="0" w:type="auto"/>
            <w:noWrap/>
            <w:hideMark/>
          </w:tcPr>
          <w:p w14:paraId="7A64628F"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825EFCC"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626D5C05"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700FD9"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6AA2ACF" w14:textId="77777777" w:rsidTr="00AA63D6">
        <w:trPr>
          <w:trHeight w:val="315"/>
        </w:trPr>
        <w:tc>
          <w:tcPr>
            <w:tcW w:w="0" w:type="auto"/>
            <w:noWrap/>
            <w:hideMark/>
          </w:tcPr>
          <w:p w14:paraId="4FB646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ECB3376"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7481EF0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37BC1CD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D0E5599" w14:textId="77777777" w:rsidTr="00AA63D6">
        <w:trPr>
          <w:trHeight w:val="315"/>
        </w:trPr>
        <w:tc>
          <w:tcPr>
            <w:tcW w:w="0" w:type="auto"/>
            <w:noWrap/>
            <w:hideMark/>
          </w:tcPr>
          <w:p w14:paraId="0939197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E92FB5D"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7C218C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C3D0C5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1D7BA8A" w14:textId="77777777" w:rsidTr="00AA63D6">
        <w:trPr>
          <w:trHeight w:val="315"/>
        </w:trPr>
        <w:tc>
          <w:tcPr>
            <w:tcW w:w="0" w:type="auto"/>
            <w:noWrap/>
            <w:hideMark/>
          </w:tcPr>
          <w:p w14:paraId="49F67DB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04192A0"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3EA2BFFE"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4AC5223"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01CD6A6E" w14:textId="77777777" w:rsidTr="00AA63D6">
        <w:trPr>
          <w:trHeight w:val="315"/>
        </w:trPr>
        <w:tc>
          <w:tcPr>
            <w:tcW w:w="0" w:type="auto"/>
            <w:noWrap/>
            <w:hideMark/>
          </w:tcPr>
          <w:p w14:paraId="2C1C385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1A962C0"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A3E4C1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2FA2795"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69E1543B" w14:textId="77777777" w:rsidTr="00AA63D6">
        <w:trPr>
          <w:trHeight w:val="315"/>
        </w:trPr>
        <w:tc>
          <w:tcPr>
            <w:tcW w:w="0" w:type="auto"/>
            <w:noWrap/>
            <w:hideMark/>
          </w:tcPr>
          <w:p w14:paraId="4078B5A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1DCE01E"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418ECEB1"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E9C367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2189261" w14:textId="77777777" w:rsidTr="00AA63D6">
        <w:trPr>
          <w:trHeight w:val="315"/>
        </w:trPr>
        <w:tc>
          <w:tcPr>
            <w:tcW w:w="0" w:type="auto"/>
            <w:noWrap/>
            <w:hideMark/>
          </w:tcPr>
          <w:p w14:paraId="04694AB5"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663AB1D"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48A85B9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DCD8FF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7D02F31" w14:textId="77777777" w:rsidTr="00AA63D6">
        <w:trPr>
          <w:trHeight w:val="315"/>
        </w:trPr>
        <w:tc>
          <w:tcPr>
            <w:tcW w:w="0" w:type="auto"/>
            <w:noWrap/>
            <w:hideMark/>
          </w:tcPr>
          <w:p w14:paraId="13B46E2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BF1A821"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50CBC00C"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3935FD5"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56DCA62C" w14:textId="77777777" w:rsidTr="00AA63D6">
        <w:trPr>
          <w:trHeight w:val="315"/>
        </w:trPr>
        <w:tc>
          <w:tcPr>
            <w:tcW w:w="0" w:type="auto"/>
            <w:noWrap/>
            <w:hideMark/>
          </w:tcPr>
          <w:p w14:paraId="48AF493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798715D"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7E41C0F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B94CF2C"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024634AA" w14:textId="77777777" w:rsidTr="00AA63D6">
        <w:trPr>
          <w:trHeight w:val="315"/>
        </w:trPr>
        <w:tc>
          <w:tcPr>
            <w:tcW w:w="0" w:type="auto"/>
            <w:noWrap/>
            <w:hideMark/>
          </w:tcPr>
          <w:p w14:paraId="69DFC1F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8222F93"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6287EF5F"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3F6E89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FEC6CED" w14:textId="77777777" w:rsidTr="00AA63D6">
        <w:trPr>
          <w:trHeight w:val="315"/>
        </w:trPr>
        <w:tc>
          <w:tcPr>
            <w:tcW w:w="0" w:type="auto"/>
            <w:noWrap/>
            <w:hideMark/>
          </w:tcPr>
          <w:p w14:paraId="5A5F13A1"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C80F856"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AC3B47D"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0EFF08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69F4D94" w14:textId="77777777" w:rsidTr="00AA63D6">
        <w:trPr>
          <w:trHeight w:val="315"/>
        </w:trPr>
        <w:tc>
          <w:tcPr>
            <w:tcW w:w="0" w:type="auto"/>
            <w:noWrap/>
            <w:hideMark/>
          </w:tcPr>
          <w:p w14:paraId="4C1B84CE"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6C2C254"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08A5F52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1BA641B"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C2FC0CC" w14:textId="77777777" w:rsidTr="00AA63D6">
        <w:trPr>
          <w:trHeight w:val="315"/>
        </w:trPr>
        <w:tc>
          <w:tcPr>
            <w:tcW w:w="0" w:type="auto"/>
            <w:noWrap/>
            <w:hideMark/>
          </w:tcPr>
          <w:p w14:paraId="6870049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C6C652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557061C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5363F160"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1794FD8F" w14:textId="77777777" w:rsidTr="00AA63D6">
        <w:trPr>
          <w:trHeight w:val="315"/>
        </w:trPr>
        <w:tc>
          <w:tcPr>
            <w:tcW w:w="0" w:type="auto"/>
            <w:noWrap/>
            <w:hideMark/>
          </w:tcPr>
          <w:p w14:paraId="0F04328C"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F13CF9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260EDC0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31C813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57F5C2A" w14:textId="77777777" w:rsidTr="00AA63D6">
        <w:trPr>
          <w:trHeight w:val="315"/>
        </w:trPr>
        <w:tc>
          <w:tcPr>
            <w:tcW w:w="0" w:type="auto"/>
            <w:noWrap/>
            <w:hideMark/>
          </w:tcPr>
          <w:p w14:paraId="49D018BC"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51D09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10BB369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9296E7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926171" w14:textId="77777777" w:rsidTr="00AA63D6">
        <w:trPr>
          <w:trHeight w:val="315"/>
        </w:trPr>
        <w:tc>
          <w:tcPr>
            <w:tcW w:w="0" w:type="auto"/>
            <w:noWrap/>
            <w:hideMark/>
          </w:tcPr>
          <w:p w14:paraId="41FF9332"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4BEBA23"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23F78371"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697A5EC4"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1EC6332" w14:textId="77777777" w:rsidTr="00AA63D6">
        <w:trPr>
          <w:trHeight w:val="315"/>
        </w:trPr>
        <w:tc>
          <w:tcPr>
            <w:tcW w:w="0" w:type="auto"/>
            <w:noWrap/>
            <w:hideMark/>
          </w:tcPr>
          <w:p w14:paraId="08B0F68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7EE8804"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4E4B54D"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50C3F7D"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0D6D78C" w14:textId="77777777" w:rsidTr="00AA63D6">
        <w:trPr>
          <w:trHeight w:val="315"/>
        </w:trPr>
        <w:tc>
          <w:tcPr>
            <w:tcW w:w="0" w:type="auto"/>
            <w:noWrap/>
            <w:hideMark/>
          </w:tcPr>
          <w:p w14:paraId="54A6454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9BBFBDA"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0BB98BE0"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837D44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B68AA5C" w14:textId="77777777" w:rsidTr="00AA63D6">
        <w:trPr>
          <w:trHeight w:val="315"/>
        </w:trPr>
        <w:tc>
          <w:tcPr>
            <w:tcW w:w="0" w:type="auto"/>
            <w:noWrap/>
            <w:hideMark/>
          </w:tcPr>
          <w:p w14:paraId="0D17DB1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673CFB43"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2980277C"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4779A5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541508B" w14:textId="77777777" w:rsidTr="00AA63D6">
        <w:trPr>
          <w:trHeight w:val="315"/>
        </w:trPr>
        <w:tc>
          <w:tcPr>
            <w:tcW w:w="0" w:type="auto"/>
            <w:noWrap/>
            <w:hideMark/>
          </w:tcPr>
          <w:p w14:paraId="295C727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A9F7653"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28B321C"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10E1B7D"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2F607DD" w14:textId="77777777" w:rsidTr="00AA63D6">
        <w:trPr>
          <w:trHeight w:val="315"/>
        </w:trPr>
        <w:tc>
          <w:tcPr>
            <w:tcW w:w="0" w:type="auto"/>
            <w:noWrap/>
            <w:hideMark/>
          </w:tcPr>
          <w:p w14:paraId="25BBBEF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E98B9E1"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41FCB86"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2CFA4E7"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46DDB879" w14:textId="77777777" w:rsidTr="00AA63D6">
        <w:trPr>
          <w:trHeight w:val="315"/>
        </w:trPr>
        <w:tc>
          <w:tcPr>
            <w:tcW w:w="0" w:type="auto"/>
            <w:noWrap/>
            <w:hideMark/>
          </w:tcPr>
          <w:p w14:paraId="239869E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9227FE2"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2B90BBD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A8336E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3792F17" w14:textId="77777777" w:rsidTr="00AA63D6">
        <w:trPr>
          <w:trHeight w:val="315"/>
        </w:trPr>
        <w:tc>
          <w:tcPr>
            <w:tcW w:w="0" w:type="auto"/>
            <w:noWrap/>
            <w:hideMark/>
          </w:tcPr>
          <w:p w14:paraId="42FAC62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990E252"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6472BF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36DB9AE"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0D980D6" w14:textId="77777777" w:rsidTr="00AA63D6">
        <w:trPr>
          <w:trHeight w:val="315"/>
        </w:trPr>
        <w:tc>
          <w:tcPr>
            <w:tcW w:w="0" w:type="auto"/>
            <w:noWrap/>
            <w:hideMark/>
          </w:tcPr>
          <w:p w14:paraId="5B1047E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AA2DB0F"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74BA912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45EB884"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4A95B25" w14:textId="77777777" w:rsidTr="00AA63D6">
        <w:trPr>
          <w:trHeight w:val="315"/>
        </w:trPr>
        <w:tc>
          <w:tcPr>
            <w:tcW w:w="0" w:type="auto"/>
            <w:noWrap/>
            <w:hideMark/>
          </w:tcPr>
          <w:p w14:paraId="2330664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2CFEDFC"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4DE9A7A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7D07F1E"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26D77E8C" w14:textId="77777777" w:rsidTr="00AA63D6">
        <w:trPr>
          <w:trHeight w:val="315"/>
        </w:trPr>
        <w:tc>
          <w:tcPr>
            <w:tcW w:w="0" w:type="auto"/>
            <w:noWrap/>
            <w:hideMark/>
          </w:tcPr>
          <w:p w14:paraId="601A6B96" w14:textId="77777777" w:rsidR="00A95BEA" w:rsidRPr="00A95BEA" w:rsidRDefault="00A95BEA" w:rsidP="00A95BEA">
            <w:pPr>
              <w:jc w:val="center"/>
              <w:rPr>
                <w:b/>
                <w:color w:val="44546A"/>
                <w:sz w:val="24"/>
                <w:szCs w:val="24"/>
              </w:rPr>
            </w:pPr>
            <w:r w:rsidRPr="00A95BEA">
              <w:rPr>
                <w:b/>
                <w:color w:val="44546A"/>
                <w:sz w:val="24"/>
                <w:szCs w:val="24"/>
              </w:rPr>
              <w:lastRenderedPageBreak/>
              <w:t>STAR Kids</w:t>
            </w:r>
          </w:p>
        </w:tc>
        <w:tc>
          <w:tcPr>
            <w:tcW w:w="0" w:type="auto"/>
            <w:noWrap/>
            <w:hideMark/>
          </w:tcPr>
          <w:p w14:paraId="709E4ED4"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0443061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A4D699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8A7F4D7" w14:textId="77777777" w:rsidTr="00AA63D6">
        <w:trPr>
          <w:trHeight w:val="315"/>
        </w:trPr>
        <w:tc>
          <w:tcPr>
            <w:tcW w:w="0" w:type="auto"/>
            <w:noWrap/>
            <w:hideMark/>
          </w:tcPr>
          <w:p w14:paraId="341E9468"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4302191"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15846B9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420C81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E027808" w14:textId="77777777" w:rsidTr="00AA63D6">
        <w:trPr>
          <w:trHeight w:val="315"/>
        </w:trPr>
        <w:tc>
          <w:tcPr>
            <w:tcW w:w="0" w:type="auto"/>
            <w:noWrap/>
            <w:hideMark/>
          </w:tcPr>
          <w:p w14:paraId="6E68AC9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0B186C0"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58B5D9F"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7E938FD9"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ED6D8E9" w14:textId="77777777" w:rsidTr="00AA63D6">
        <w:trPr>
          <w:trHeight w:val="315"/>
        </w:trPr>
        <w:tc>
          <w:tcPr>
            <w:tcW w:w="0" w:type="auto"/>
            <w:noWrap/>
            <w:hideMark/>
          </w:tcPr>
          <w:p w14:paraId="3FC3C304"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41D50E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3B4E58B"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DD6A723"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5427C3CD" w14:textId="77777777" w:rsidTr="00AA63D6">
        <w:trPr>
          <w:trHeight w:val="315"/>
        </w:trPr>
        <w:tc>
          <w:tcPr>
            <w:tcW w:w="0" w:type="auto"/>
            <w:noWrap/>
            <w:hideMark/>
          </w:tcPr>
          <w:p w14:paraId="534C2B6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2C29D035"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5B254729"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027DBC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0D360E8" w14:textId="77777777" w:rsidTr="00AA63D6">
        <w:trPr>
          <w:trHeight w:val="315"/>
        </w:trPr>
        <w:tc>
          <w:tcPr>
            <w:tcW w:w="0" w:type="auto"/>
            <w:noWrap/>
            <w:hideMark/>
          </w:tcPr>
          <w:p w14:paraId="148F6D23"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5D5A8D2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75E5651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C64C48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4ED1743" w14:textId="77777777" w:rsidTr="00AA63D6">
        <w:trPr>
          <w:trHeight w:val="315"/>
        </w:trPr>
        <w:tc>
          <w:tcPr>
            <w:tcW w:w="0" w:type="auto"/>
            <w:noWrap/>
            <w:hideMark/>
          </w:tcPr>
          <w:p w14:paraId="0839683F"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1D60E2B3"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28E5AE2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E566F00"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57F316FE" w14:textId="77777777" w:rsidTr="00AA63D6">
        <w:trPr>
          <w:trHeight w:val="315"/>
        </w:trPr>
        <w:tc>
          <w:tcPr>
            <w:tcW w:w="0" w:type="auto"/>
            <w:noWrap/>
            <w:hideMark/>
          </w:tcPr>
          <w:p w14:paraId="36A22B06"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06595C2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2D31D967"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C6E20F4" w14:textId="77777777" w:rsidR="00A95BEA" w:rsidRPr="00A95BEA" w:rsidRDefault="00A95BEA" w:rsidP="00A95BEA">
            <w:pPr>
              <w:jc w:val="center"/>
              <w:rPr>
                <w:b/>
                <w:color w:val="44546A"/>
                <w:sz w:val="24"/>
                <w:szCs w:val="24"/>
              </w:rPr>
            </w:pPr>
            <w:r w:rsidRPr="00A95BEA">
              <w:rPr>
                <w:b/>
                <w:color w:val="44546A"/>
                <w:sz w:val="24"/>
                <w:szCs w:val="24"/>
              </w:rPr>
              <w:t>4.50%</w:t>
            </w:r>
          </w:p>
        </w:tc>
      </w:tr>
      <w:tr w:rsidR="00886A48" w:rsidRPr="00A95BEA" w14:paraId="67A330DC" w14:textId="77777777" w:rsidTr="00AA63D6">
        <w:trPr>
          <w:trHeight w:val="315"/>
        </w:trPr>
        <w:tc>
          <w:tcPr>
            <w:tcW w:w="0" w:type="auto"/>
            <w:noWrap/>
            <w:hideMark/>
          </w:tcPr>
          <w:p w14:paraId="23C5ECE9"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B1E69ED"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58D2ADA5"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55C7938"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A287511" w14:textId="77777777" w:rsidTr="00AA63D6">
        <w:trPr>
          <w:trHeight w:val="315"/>
        </w:trPr>
        <w:tc>
          <w:tcPr>
            <w:tcW w:w="0" w:type="auto"/>
            <w:noWrap/>
            <w:hideMark/>
          </w:tcPr>
          <w:p w14:paraId="7A9647C0"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724B9D2A"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59D93D62"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E14AC7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5E1A1C2" w14:textId="77777777" w:rsidTr="00AA63D6">
        <w:trPr>
          <w:trHeight w:val="315"/>
        </w:trPr>
        <w:tc>
          <w:tcPr>
            <w:tcW w:w="0" w:type="auto"/>
            <w:noWrap/>
            <w:hideMark/>
          </w:tcPr>
          <w:p w14:paraId="7D1FFD7D" w14:textId="77777777" w:rsidR="00A95BEA" w:rsidRPr="00A95BEA" w:rsidRDefault="00A95BEA" w:rsidP="00A95BEA">
            <w:pPr>
              <w:jc w:val="center"/>
              <w:rPr>
                <w:b/>
                <w:color w:val="44546A"/>
                <w:sz w:val="24"/>
                <w:szCs w:val="24"/>
              </w:rPr>
            </w:pPr>
            <w:r w:rsidRPr="00A95BEA">
              <w:rPr>
                <w:b/>
                <w:color w:val="44546A"/>
                <w:sz w:val="24"/>
                <w:szCs w:val="24"/>
              </w:rPr>
              <w:t>STAR Kids</w:t>
            </w:r>
          </w:p>
        </w:tc>
        <w:tc>
          <w:tcPr>
            <w:tcW w:w="0" w:type="auto"/>
            <w:noWrap/>
            <w:hideMark/>
          </w:tcPr>
          <w:p w14:paraId="4F4CAF67"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4BF1DA29"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84B2546"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3508B2F9" w14:textId="77777777" w:rsidTr="00AA63D6">
        <w:trPr>
          <w:trHeight w:val="315"/>
        </w:trPr>
        <w:tc>
          <w:tcPr>
            <w:tcW w:w="0" w:type="auto"/>
            <w:noWrap/>
            <w:hideMark/>
          </w:tcPr>
          <w:p w14:paraId="0C07533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0102041"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55B204B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96C265E"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E3738FB" w14:textId="77777777" w:rsidTr="00AA63D6">
        <w:trPr>
          <w:trHeight w:val="315"/>
        </w:trPr>
        <w:tc>
          <w:tcPr>
            <w:tcW w:w="0" w:type="auto"/>
            <w:noWrap/>
            <w:hideMark/>
          </w:tcPr>
          <w:p w14:paraId="29C6D798"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49B397"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427B8BBC"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AC8A02"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104C42B5" w14:textId="77777777" w:rsidTr="00AA63D6">
        <w:trPr>
          <w:trHeight w:val="315"/>
        </w:trPr>
        <w:tc>
          <w:tcPr>
            <w:tcW w:w="0" w:type="auto"/>
            <w:noWrap/>
            <w:hideMark/>
          </w:tcPr>
          <w:p w14:paraId="1791CF4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FC88A77"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5B74C441"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2999E75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E916008" w14:textId="77777777" w:rsidTr="00AA63D6">
        <w:trPr>
          <w:trHeight w:val="315"/>
        </w:trPr>
        <w:tc>
          <w:tcPr>
            <w:tcW w:w="0" w:type="auto"/>
            <w:noWrap/>
            <w:hideMark/>
          </w:tcPr>
          <w:p w14:paraId="58A7CE4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A1604C" w14:textId="77777777" w:rsidR="00A95BEA" w:rsidRPr="00A95BEA" w:rsidRDefault="00A95BEA" w:rsidP="00A95BEA">
            <w:pPr>
              <w:jc w:val="center"/>
              <w:rPr>
                <w:b/>
                <w:color w:val="44546A"/>
                <w:sz w:val="24"/>
                <w:szCs w:val="24"/>
              </w:rPr>
            </w:pPr>
            <w:r w:rsidRPr="00A95BEA">
              <w:rPr>
                <w:b/>
                <w:color w:val="44546A"/>
                <w:sz w:val="24"/>
                <w:szCs w:val="24"/>
              </w:rPr>
              <w:t>Bexar</w:t>
            </w:r>
          </w:p>
        </w:tc>
        <w:tc>
          <w:tcPr>
            <w:tcW w:w="0" w:type="auto"/>
            <w:noWrap/>
            <w:hideMark/>
          </w:tcPr>
          <w:p w14:paraId="21F809A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397B897"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0B6C123" w14:textId="77777777" w:rsidTr="00AA63D6">
        <w:trPr>
          <w:trHeight w:val="315"/>
        </w:trPr>
        <w:tc>
          <w:tcPr>
            <w:tcW w:w="0" w:type="auto"/>
            <w:noWrap/>
            <w:hideMark/>
          </w:tcPr>
          <w:p w14:paraId="1A1DF15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9BF852C"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1364AD2C"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542FB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46D5F25" w14:textId="77777777" w:rsidTr="00AA63D6">
        <w:trPr>
          <w:trHeight w:val="315"/>
        </w:trPr>
        <w:tc>
          <w:tcPr>
            <w:tcW w:w="0" w:type="auto"/>
            <w:noWrap/>
            <w:hideMark/>
          </w:tcPr>
          <w:p w14:paraId="2E1C572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0472066"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13B29E42"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466DFC1B"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3CDA5993" w14:textId="77777777" w:rsidTr="00AA63D6">
        <w:trPr>
          <w:trHeight w:val="315"/>
        </w:trPr>
        <w:tc>
          <w:tcPr>
            <w:tcW w:w="0" w:type="auto"/>
            <w:noWrap/>
            <w:hideMark/>
          </w:tcPr>
          <w:p w14:paraId="72E7BEE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F942B37"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324AC1E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8FDD4D1"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F2CCA9E" w14:textId="77777777" w:rsidTr="00AA63D6">
        <w:trPr>
          <w:trHeight w:val="315"/>
        </w:trPr>
        <w:tc>
          <w:tcPr>
            <w:tcW w:w="0" w:type="auto"/>
            <w:noWrap/>
            <w:hideMark/>
          </w:tcPr>
          <w:p w14:paraId="1FAB3BC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72170A1" w14:textId="77777777" w:rsidR="00A95BEA" w:rsidRPr="00A95BEA" w:rsidRDefault="00A95BEA" w:rsidP="00A95BEA">
            <w:pPr>
              <w:jc w:val="center"/>
              <w:rPr>
                <w:b/>
                <w:color w:val="44546A"/>
                <w:sz w:val="24"/>
                <w:szCs w:val="24"/>
              </w:rPr>
            </w:pPr>
            <w:r w:rsidRPr="00A95BEA">
              <w:rPr>
                <w:b/>
                <w:color w:val="44546A"/>
                <w:sz w:val="24"/>
                <w:szCs w:val="24"/>
              </w:rPr>
              <w:t>Dallas</w:t>
            </w:r>
          </w:p>
        </w:tc>
        <w:tc>
          <w:tcPr>
            <w:tcW w:w="0" w:type="auto"/>
            <w:noWrap/>
            <w:hideMark/>
          </w:tcPr>
          <w:p w14:paraId="28EA857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80EE9D1"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69E62605" w14:textId="77777777" w:rsidTr="00AA63D6">
        <w:trPr>
          <w:trHeight w:val="315"/>
        </w:trPr>
        <w:tc>
          <w:tcPr>
            <w:tcW w:w="0" w:type="auto"/>
            <w:noWrap/>
            <w:hideMark/>
          </w:tcPr>
          <w:p w14:paraId="74660B7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9D33FBC"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0840BEE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36E77E54"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D2C21A5" w14:textId="77777777" w:rsidTr="00AA63D6">
        <w:trPr>
          <w:trHeight w:val="315"/>
        </w:trPr>
        <w:tc>
          <w:tcPr>
            <w:tcW w:w="0" w:type="auto"/>
            <w:noWrap/>
            <w:hideMark/>
          </w:tcPr>
          <w:p w14:paraId="3D4D6EED"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EA53D28"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0428172E"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10DE58E" w14:textId="77777777" w:rsidR="00A95BEA" w:rsidRPr="00A95BEA" w:rsidRDefault="00A95BEA" w:rsidP="00A95BEA">
            <w:pPr>
              <w:jc w:val="center"/>
              <w:rPr>
                <w:b/>
                <w:color w:val="44546A"/>
                <w:sz w:val="24"/>
                <w:szCs w:val="24"/>
              </w:rPr>
            </w:pPr>
            <w:r w:rsidRPr="00A95BEA">
              <w:rPr>
                <w:b/>
                <w:color w:val="44546A"/>
                <w:sz w:val="24"/>
                <w:szCs w:val="24"/>
              </w:rPr>
              <w:t>0.25%</w:t>
            </w:r>
          </w:p>
        </w:tc>
      </w:tr>
      <w:tr w:rsidR="00886A48" w:rsidRPr="00A95BEA" w14:paraId="44ADF81C" w14:textId="77777777" w:rsidTr="00AA63D6">
        <w:trPr>
          <w:trHeight w:val="315"/>
        </w:trPr>
        <w:tc>
          <w:tcPr>
            <w:tcW w:w="0" w:type="auto"/>
            <w:noWrap/>
            <w:hideMark/>
          </w:tcPr>
          <w:p w14:paraId="0113A57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9BF76A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71370BBA"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7C9D2E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A005416" w14:textId="77777777" w:rsidTr="00AA63D6">
        <w:trPr>
          <w:trHeight w:val="315"/>
        </w:trPr>
        <w:tc>
          <w:tcPr>
            <w:tcW w:w="0" w:type="auto"/>
            <w:noWrap/>
            <w:hideMark/>
          </w:tcPr>
          <w:p w14:paraId="6114297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D882F52" w14:textId="77777777" w:rsidR="00A95BEA" w:rsidRPr="00A95BEA" w:rsidRDefault="00A95BEA" w:rsidP="00A95BEA">
            <w:pPr>
              <w:jc w:val="center"/>
              <w:rPr>
                <w:b/>
                <w:color w:val="44546A"/>
                <w:sz w:val="24"/>
                <w:szCs w:val="24"/>
              </w:rPr>
            </w:pPr>
            <w:r w:rsidRPr="00A95BEA">
              <w:rPr>
                <w:b/>
                <w:color w:val="44546A"/>
                <w:sz w:val="24"/>
                <w:szCs w:val="24"/>
              </w:rPr>
              <w:t>El Paso</w:t>
            </w:r>
          </w:p>
        </w:tc>
        <w:tc>
          <w:tcPr>
            <w:tcW w:w="0" w:type="auto"/>
            <w:noWrap/>
            <w:hideMark/>
          </w:tcPr>
          <w:p w14:paraId="4C8C3C3F"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AF02676" w14:textId="77777777" w:rsidR="00A95BEA" w:rsidRPr="00A95BEA" w:rsidRDefault="00A95BEA" w:rsidP="00A95BEA">
            <w:pPr>
              <w:jc w:val="center"/>
              <w:rPr>
                <w:b/>
                <w:color w:val="44546A"/>
                <w:sz w:val="24"/>
                <w:szCs w:val="24"/>
              </w:rPr>
            </w:pPr>
            <w:r w:rsidRPr="00A95BEA">
              <w:rPr>
                <w:b/>
                <w:color w:val="44546A"/>
                <w:sz w:val="24"/>
                <w:szCs w:val="24"/>
              </w:rPr>
              <w:t>4.75%</w:t>
            </w:r>
          </w:p>
        </w:tc>
      </w:tr>
      <w:tr w:rsidR="00886A48" w:rsidRPr="00A95BEA" w14:paraId="7D6400D8" w14:textId="77777777" w:rsidTr="00AA63D6">
        <w:trPr>
          <w:trHeight w:val="315"/>
        </w:trPr>
        <w:tc>
          <w:tcPr>
            <w:tcW w:w="0" w:type="auto"/>
            <w:noWrap/>
            <w:hideMark/>
          </w:tcPr>
          <w:p w14:paraId="69A693F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686C7D1"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6BAC5E0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EA0798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3DACB59" w14:textId="77777777" w:rsidTr="00AA63D6">
        <w:trPr>
          <w:trHeight w:val="315"/>
        </w:trPr>
        <w:tc>
          <w:tcPr>
            <w:tcW w:w="0" w:type="auto"/>
            <w:noWrap/>
            <w:hideMark/>
          </w:tcPr>
          <w:p w14:paraId="00814A8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7B148117"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5CA95913"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67CB0DB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6F865C" w14:textId="77777777" w:rsidTr="00AA63D6">
        <w:trPr>
          <w:trHeight w:val="315"/>
        </w:trPr>
        <w:tc>
          <w:tcPr>
            <w:tcW w:w="0" w:type="auto"/>
            <w:noWrap/>
            <w:hideMark/>
          </w:tcPr>
          <w:p w14:paraId="2BB7FE4F"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A3E29B"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46394035"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D60FA5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4A07AFE" w14:textId="77777777" w:rsidTr="00AA63D6">
        <w:trPr>
          <w:trHeight w:val="315"/>
        </w:trPr>
        <w:tc>
          <w:tcPr>
            <w:tcW w:w="0" w:type="auto"/>
            <w:noWrap/>
            <w:hideMark/>
          </w:tcPr>
          <w:p w14:paraId="4D82533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BBF05A7" w14:textId="77777777" w:rsidR="00A95BEA" w:rsidRPr="00A95BEA" w:rsidRDefault="00A95BEA" w:rsidP="00A95BEA">
            <w:pPr>
              <w:jc w:val="center"/>
              <w:rPr>
                <w:b/>
                <w:color w:val="44546A"/>
                <w:sz w:val="24"/>
                <w:szCs w:val="24"/>
              </w:rPr>
            </w:pPr>
            <w:r w:rsidRPr="00A95BEA">
              <w:rPr>
                <w:b/>
                <w:color w:val="44546A"/>
                <w:sz w:val="24"/>
                <w:szCs w:val="24"/>
              </w:rPr>
              <w:t>Harris</w:t>
            </w:r>
          </w:p>
        </w:tc>
        <w:tc>
          <w:tcPr>
            <w:tcW w:w="0" w:type="auto"/>
            <w:noWrap/>
            <w:hideMark/>
          </w:tcPr>
          <w:p w14:paraId="0A4892A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D2E4F2F" w14:textId="77777777" w:rsidR="00A95BEA" w:rsidRPr="00A95BEA" w:rsidRDefault="00A95BEA" w:rsidP="00A95BEA">
            <w:pPr>
              <w:jc w:val="center"/>
              <w:rPr>
                <w:b/>
                <w:color w:val="44546A"/>
                <w:sz w:val="24"/>
                <w:szCs w:val="24"/>
              </w:rPr>
            </w:pPr>
            <w:r w:rsidRPr="00A95BEA">
              <w:rPr>
                <w:b/>
                <w:color w:val="44546A"/>
                <w:sz w:val="24"/>
                <w:szCs w:val="24"/>
              </w:rPr>
              <w:t>5.00%</w:t>
            </w:r>
          </w:p>
        </w:tc>
      </w:tr>
      <w:tr w:rsidR="00886A48" w:rsidRPr="00A95BEA" w14:paraId="54B9F8A4" w14:textId="77777777" w:rsidTr="00AA63D6">
        <w:trPr>
          <w:trHeight w:val="315"/>
        </w:trPr>
        <w:tc>
          <w:tcPr>
            <w:tcW w:w="0" w:type="auto"/>
            <w:noWrap/>
            <w:hideMark/>
          </w:tcPr>
          <w:p w14:paraId="6B9B2F99" w14:textId="77777777" w:rsidR="00A95BEA" w:rsidRPr="00A95BEA" w:rsidRDefault="00A95BEA" w:rsidP="00A95BEA">
            <w:pPr>
              <w:jc w:val="center"/>
              <w:rPr>
                <w:b/>
                <w:color w:val="44546A"/>
                <w:sz w:val="24"/>
                <w:szCs w:val="24"/>
              </w:rPr>
            </w:pPr>
            <w:r w:rsidRPr="00A95BEA">
              <w:rPr>
                <w:b/>
                <w:color w:val="44546A"/>
                <w:sz w:val="24"/>
                <w:szCs w:val="24"/>
              </w:rPr>
              <w:lastRenderedPageBreak/>
              <w:t>STAR PLUS</w:t>
            </w:r>
          </w:p>
        </w:tc>
        <w:tc>
          <w:tcPr>
            <w:tcW w:w="0" w:type="auto"/>
            <w:noWrap/>
            <w:hideMark/>
          </w:tcPr>
          <w:p w14:paraId="3B7DEBCE"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68CC14FA"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784D9E2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71E907BB" w14:textId="77777777" w:rsidTr="00AA63D6">
        <w:trPr>
          <w:trHeight w:val="315"/>
        </w:trPr>
        <w:tc>
          <w:tcPr>
            <w:tcW w:w="0" w:type="auto"/>
            <w:noWrap/>
            <w:hideMark/>
          </w:tcPr>
          <w:p w14:paraId="7D8492C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1FED485"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082BED6D"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4032C9" w14:textId="77777777" w:rsidR="00A95BEA" w:rsidRPr="00A95BEA" w:rsidRDefault="00A95BEA" w:rsidP="00A95BEA">
            <w:pPr>
              <w:jc w:val="center"/>
              <w:rPr>
                <w:b/>
                <w:color w:val="44546A"/>
                <w:sz w:val="24"/>
                <w:szCs w:val="24"/>
              </w:rPr>
            </w:pPr>
            <w:r w:rsidRPr="00A95BEA">
              <w:rPr>
                <w:b/>
                <w:color w:val="44546A"/>
                <w:sz w:val="24"/>
                <w:szCs w:val="24"/>
              </w:rPr>
              <w:t>0.10%</w:t>
            </w:r>
          </w:p>
        </w:tc>
      </w:tr>
      <w:tr w:rsidR="00886A48" w:rsidRPr="00A95BEA" w14:paraId="34B82E8C" w14:textId="77777777" w:rsidTr="00AA63D6">
        <w:trPr>
          <w:trHeight w:val="315"/>
        </w:trPr>
        <w:tc>
          <w:tcPr>
            <w:tcW w:w="0" w:type="auto"/>
            <w:noWrap/>
            <w:hideMark/>
          </w:tcPr>
          <w:p w14:paraId="13DA926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32F9B30"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4616080"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76BFBCBA"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95D8ED8" w14:textId="77777777" w:rsidTr="00AA63D6">
        <w:trPr>
          <w:trHeight w:val="315"/>
        </w:trPr>
        <w:tc>
          <w:tcPr>
            <w:tcW w:w="0" w:type="auto"/>
            <w:noWrap/>
            <w:hideMark/>
          </w:tcPr>
          <w:p w14:paraId="18DE77D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9A7674A" w14:textId="77777777" w:rsidR="00A95BEA" w:rsidRPr="00A95BEA" w:rsidRDefault="00A95BEA" w:rsidP="00A95BEA">
            <w:pPr>
              <w:jc w:val="center"/>
              <w:rPr>
                <w:b/>
                <w:color w:val="44546A"/>
                <w:sz w:val="24"/>
                <w:szCs w:val="24"/>
              </w:rPr>
            </w:pPr>
            <w:r w:rsidRPr="00A95BEA">
              <w:rPr>
                <w:b/>
                <w:color w:val="44546A"/>
                <w:sz w:val="24"/>
                <w:szCs w:val="24"/>
              </w:rPr>
              <w:t>Hidalgo</w:t>
            </w:r>
          </w:p>
        </w:tc>
        <w:tc>
          <w:tcPr>
            <w:tcW w:w="0" w:type="auto"/>
            <w:noWrap/>
            <w:hideMark/>
          </w:tcPr>
          <w:p w14:paraId="16325DF9"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54BD600" w14:textId="77777777" w:rsidR="00A95BEA" w:rsidRPr="00A95BEA" w:rsidRDefault="00A95BEA" w:rsidP="00A95BEA">
            <w:pPr>
              <w:jc w:val="center"/>
              <w:rPr>
                <w:b/>
                <w:color w:val="44546A"/>
                <w:sz w:val="24"/>
                <w:szCs w:val="24"/>
              </w:rPr>
            </w:pPr>
            <w:r w:rsidRPr="00A95BEA">
              <w:rPr>
                <w:b/>
                <w:color w:val="44546A"/>
                <w:sz w:val="24"/>
                <w:szCs w:val="24"/>
              </w:rPr>
              <w:t>4.90%</w:t>
            </w:r>
          </w:p>
        </w:tc>
      </w:tr>
      <w:tr w:rsidR="00886A48" w:rsidRPr="00A95BEA" w14:paraId="7FB60E45" w14:textId="77777777" w:rsidTr="00AA63D6">
        <w:trPr>
          <w:trHeight w:val="315"/>
        </w:trPr>
        <w:tc>
          <w:tcPr>
            <w:tcW w:w="0" w:type="auto"/>
            <w:noWrap/>
            <w:hideMark/>
          </w:tcPr>
          <w:p w14:paraId="453DF44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74D1DCCD"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32109278"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40CFD1F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70A3E7C" w14:textId="77777777" w:rsidTr="00AA63D6">
        <w:trPr>
          <w:trHeight w:val="315"/>
        </w:trPr>
        <w:tc>
          <w:tcPr>
            <w:tcW w:w="0" w:type="auto"/>
            <w:noWrap/>
            <w:hideMark/>
          </w:tcPr>
          <w:p w14:paraId="064E79B6"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B9FEC59"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113AD2C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8B4B180" w14:textId="77777777" w:rsidR="00A95BEA" w:rsidRPr="00A95BEA" w:rsidRDefault="00A95BEA" w:rsidP="00A95BEA">
            <w:pPr>
              <w:jc w:val="center"/>
              <w:rPr>
                <w:b/>
                <w:color w:val="44546A"/>
                <w:sz w:val="24"/>
                <w:szCs w:val="24"/>
              </w:rPr>
            </w:pPr>
            <w:r w:rsidRPr="00A95BEA">
              <w:rPr>
                <w:b/>
                <w:color w:val="44546A"/>
                <w:sz w:val="24"/>
                <w:szCs w:val="24"/>
              </w:rPr>
              <w:t>1.00%</w:t>
            </w:r>
          </w:p>
        </w:tc>
      </w:tr>
      <w:tr w:rsidR="00886A48" w:rsidRPr="00A95BEA" w14:paraId="2EE52416" w14:textId="77777777" w:rsidTr="00AA63D6">
        <w:trPr>
          <w:trHeight w:val="315"/>
        </w:trPr>
        <w:tc>
          <w:tcPr>
            <w:tcW w:w="0" w:type="auto"/>
            <w:noWrap/>
            <w:hideMark/>
          </w:tcPr>
          <w:p w14:paraId="0F0C03B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AF7A087" w14:textId="77777777" w:rsidR="00A95BEA" w:rsidRPr="00A95BEA" w:rsidRDefault="00A95BEA" w:rsidP="00A95BEA">
            <w:pPr>
              <w:jc w:val="center"/>
              <w:rPr>
                <w:b/>
                <w:color w:val="44546A"/>
                <w:sz w:val="24"/>
                <w:szCs w:val="24"/>
              </w:rPr>
            </w:pPr>
            <w:r w:rsidRPr="00A95BEA">
              <w:rPr>
                <w:b/>
                <w:color w:val="44546A"/>
                <w:sz w:val="24"/>
                <w:szCs w:val="24"/>
              </w:rPr>
              <w:t>Jefferson</w:t>
            </w:r>
          </w:p>
        </w:tc>
        <w:tc>
          <w:tcPr>
            <w:tcW w:w="0" w:type="auto"/>
            <w:noWrap/>
            <w:hideMark/>
          </w:tcPr>
          <w:p w14:paraId="68D65074"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0D96430" w14:textId="77777777" w:rsidR="00A95BEA" w:rsidRPr="00A95BEA" w:rsidRDefault="00A95BEA" w:rsidP="00A95BEA">
            <w:pPr>
              <w:jc w:val="center"/>
              <w:rPr>
                <w:b/>
                <w:color w:val="44546A"/>
                <w:sz w:val="24"/>
                <w:szCs w:val="24"/>
              </w:rPr>
            </w:pPr>
            <w:r w:rsidRPr="00A95BEA">
              <w:rPr>
                <w:b/>
                <w:color w:val="44546A"/>
                <w:sz w:val="24"/>
                <w:szCs w:val="24"/>
              </w:rPr>
              <w:t>4.00%</w:t>
            </w:r>
          </w:p>
        </w:tc>
      </w:tr>
      <w:tr w:rsidR="00886A48" w:rsidRPr="00A95BEA" w14:paraId="519EECC5" w14:textId="77777777" w:rsidTr="00AA63D6">
        <w:trPr>
          <w:trHeight w:val="315"/>
        </w:trPr>
        <w:tc>
          <w:tcPr>
            <w:tcW w:w="0" w:type="auto"/>
            <w:noWrap/>
            <w:hideMark/>
          </w:tcPr>
          <w:p w14:paraId="27A61EA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AF20C80"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22D64BF4"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22C896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A350B2D" w14:textId="77777777" w:rsidTr="00AA63D6">
        <w:trPr>
          <w:trHeight w:val="315"/>
        </w:trPr>
        <w:tc>
          <w:tcPr>
            <w:tcW w:w="0" w:type="auto"/>
            <w:noWrap/>
            <w:hideMark/>
          </w:tcPr>
          <w:p w14:paraId="58EE2F4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4996428"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BA41B70"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1BD6769"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616350F2" w14:textId="77777777" w:rsidTr="00AA63D6">
        <w:trPr>
          <w:trHeight w:val="315"/>
        </w:trPr>
        <w:tc>
          <w:tcPr>
            <w:tcW w:w="0" w:type="auto"/>
            <w:noWrap/>
            <w:hideMark/>
          </w:tcPr>
          <w:p w14:paraId="2FFA83B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9B7FBC"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408025FD"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F3E3AD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D12FB83" w14:textId="77777777" w:rsidTr="00AA63D6">
        <w:trPr>
          <w:trHeight w:val="315"/>
        </w:trPr>
        <w:tc>
          <w:tcPr>
            <w:tcW w:w="0" w:type="auto"/>
            <w:noWrap/>
            <w:hideMark/>
          </w:tcPr>
          <w:p w14:paraId="3A2538C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0FFA3C6" w14:textId="77777777" w:rsidR="00A95BEA" w:rsidRPr="00A95BEA" w:rsidRDefault="00A95BEA" w:rsidP="00A95BEA">
            <w:pPr>
              <w:jc w:val="center"/>
              <w:rPr>
                <w:b/>
                <w:color w:val="44546A"/>
                <w:sz w:val="24"/>
                <w:szCs w:val="24"/>
              </w:rPr>
            </w:pPr>
            <w:r w:rsidRPr="00A95BEA">
              <w:rPr>
                <w:b/>
                <w:color w:val="44546A"/>
                <w:sz w:val="24"/>
                <w:szCs w:val="24"/>
              </w:rPr>
              <w:t>Lubbock</w:t>
            </w:r>
          </w:p>
        </w:tc>
        <w:tc>
          <w:tcPr>
            <w:tcW w:w="0" w:type="auto"/>
            <w:noWrap/>
            <w:hideMark/>
          </w:tcPr>
          <w:p w14:paraId="2A3AC45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B8AF62E"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7DB1ADF2" w14:textId="77777777" w:rsidTr="00AA63D6">
        <w:trPr>
          <w:trHeight w:val="315"/>
        </w:trPr>
        <w:tc>
          <w:tcPr>
            <w:tcW w:w="0" w:type="auto"/>
            <w:noWrap/>
            <w:hideMark/>
          </w:tcPr>
          <w:p w14:paraId="2C4777E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D0A6CC"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7B9BC8EE"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2278571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C3CAA2E" w14:textId="77777777" w:rsidTr="00AA63D6">
        <w:trPr>
          <w:trHeight w:val="315"/>
        </w:trPr>
        <w:tc>
          <w:tcPr>
            <w:tcW w:w="0" w:type="auto"/>
            <w:noWrap/>
            <w:hideMark/>
          </w:tcPr>
          <w:p w14:paraId="246B1DA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C5CF8D1"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55C23467"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16614264" w14:textId="77777777" w:rsidR="00A95BEA" w:rsidRPr="00A95BEA" w:rsidRDefault="00A95BEA" w:rsidP="00A95BEA">
            <w:pPr>
              <w:jc w:val="center"/>
              <w:rPr>
                <w:b/>
                <w:color w:val="44546A"/>
                <w:sz w:val="24"/>
                <w:szCs w:val="24"/>
              </w:rPr>
            </w:pPr>
            <w:r w:rsidRPr="00A95BEA">
              <w:rPr>
                <w:b/>
                <w:color w:val="44546A"/>
                <w:sz w:val="24"/>
                <w:szCs w:val="24"/>
              </w:rPr>
              <w:t>1.75%</w:t>
            </w:r>
          </w:p>
        </w:tc>
      </w:tr>
      <w:tr w:rsidR="00886A48" w:rsidRPr="00A95BEA" w14:paraId="003BBF41" w14:textId="77777777" w:rsidTr="00AA63D6">
        <w:trPr>
          <w:trHeight w:val="315"/>
        </w:trPr>
        <w:tc>
          <w:tcPr>
            <w:tcW w:w="0" w:type="auto"/>
            <w:noWrap/>
            <w:hideMark/>
          </w:tcPr>
          <w:p w14:paraId="2E5974DD"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8E50712"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454D0DA3"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381106B9"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084207EB" w14:textId="77777777" w:rsidTr="00AA63D6">
        <w:trPr>
          <w:trHeight w:val="315"/>
        </w:trPr>
        <w:tc>
          <w:tcPr>
            <w:tcW w:w="0" w:type="auto"/>
            <w:noWrap/>
            <w:hideMark/>
          </w:tcPr>
          <w:p w14:paraId="0F24BE23"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F9F0DED" w14:textId="77777777" w:rsidR="00A95BEA" w:rsidRPr="00A95BEA" w:rsidRDefault="00A95BEA" w:rsidP="00A95BEA">
            <w:pPr>
              <w:jc w:val="center"/>
              <w:rPr>
                <w:b/>
                <w:color w:val="44546A"/>
                <w:sz w:val="24"/>
                <w:szCs w:val="24"/>
              </w:rPr>
            </w:pPr>
            <w:r w:rsidRPr="00A95BEA">
              <w:rPr>
                <w:b/>
                <w:color w:val="44546A"/>
                <w:sz w:val="24"/>
                <w:szCs w:val="24"/>
              </w:rPr>
              <w:t>MRSA Central</w:t>
            </w:r>
          </w:p>
        </w:tc>
        <w:tc>
          <w:tcPr>
            <w:tcW w:w="0" w:type="auto"/>
            <w:noWrap/>
            <w:hideMark/>
          </w:tcPr>
          <w:p w14:paraId="63E5EA55"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065BBBD8" w14:textId="77777777" w:rsidR="00A95BEA" w:rsidRPr="00A95BEA" w:rsidRDefault="00A95BEA" w:rsidP="00A95BEA">
            <w:pPr>
              <w:jc w:val="center"/>
              <w:rPr>
                <w:b/>
                <w:color w:val="44546A"/>
                <w:sz w:val="24"/>
                <w:szCs w:val="24"/>
              </w:rPr>
            </w:pPr>
            <w:r w:rsidRPr="00A95BEA">
              <w:rPr>
                <w:b/>
                <w:color w:val="44546A"/>
                <w:sz w:val="24"/>
                <w:szCs w:val="24"/>
              </w:rPr>
              <w:t>3.25%</w:t>
            </w:r>
          </w:p>
        </w:tc>
      </w:tr>
      <w:tr w:rsidR="00886A48" w:rsidRPr="00A95BEA" w14:paraId="5ECADB57" w14:textId="77777777" w:rsidTr="00AA63D6">
        <w:trPr>
          <w:trHeight w:val="315"/>
        </w:trPr>
        <w:tc>
          <w:tcPr>
            <w:tcW w:w="0" w:type="auto"/>
            <w:noWrap/>
            <w:hideMark/>
          </w:tcPr>
          <w:p w14:paraId="6836698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A7C6CB8"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6263732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C46AF96"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1F2B9AB" w14:textId="77777777" w:rsidTr="00AA63D6">
        <w:trPr>
          <w:trHeight w:val="315"/>
        </w:trPr>
        <w:tc>
          <w:tcPr>
            <w:tcW w:w="0" w:type="auto"/>
            <w:noWrap/>
            <w:hideMark/>
          </w:tcPr>
          <w:p w14:paraId="274D8E3F"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556C11B"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4C3B07D1"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0FA7C30E" w14:textId="77777777" w:rsidR="00A95BEA" w:rsidRPr="00A95BEA" w:rsidRDefault="00A95BEA" w:rsidP="00A95BEA">
            <w:pPr>
              <w:jc w:val="center"/>
              <w:rPr>
                <w:b/>
                <w:color w:val="44546A"/>
                <w:sz w:val="24"/>
                <w:szCs w:val="24"/>
              </w:rPr>
            </w:pPr>
            <w:r w:rsidRPr="00A95BEA">
              <w:rPr>
                <w:b/>
                <w:color w:val="44546A"/>
                <w:sz w:val="24"/>
                <w:szCs w:val="24"/>
              </w:rPr>
              <w:t>3.50%</w:t>
            </w:r>
          </w:p>
        </w:tc>
      </w:tr>
      <w:tr w:rsidR="00886A48" w:rsidRPr="00A95BEA" w14:paraId="74D23AB7" w14:textId="77777777" w:rsidTr="00AA63D6">
        <w:trPr>
          <w:trHeight w:val="315"/>
        </w:trPr>
        <w:tc>
          <w:tcPr>
            <w:tcW w:w="0" w:type="auto"/>
            <w:noWrap/>
            <w:hideMark/>
          </w:tcPr>
          <w:p w14:paraId="47C996D5"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1BAC4EAF"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3C53593B"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6492F51D"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415A1C9" w14:textId="77777777" w:rsidTr="00AA63D6">
        <w:trPr>
          <w:trHeight w:val="315"/>
        </w:trPr>
        <w:tc>
          <w:tcPr>
            <w:tcW w:w="0" w:type="auto"/>
            <w:noWrap/>
            <w:hideMark/>
          </w:tcPr>
          <w:p w14:paraId="40236EE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A614C89" w14:textId="77777777" w:rsidR="00A95BEA" w:rsidRPr="00A95BEA" w:rsidRDefault="00A95BEA" w:rsidP="00A95BEA">
            <w:pPr>
              <w:jc w:val="center"/>
              <w:rPr>
                <w:b/>
                <w:color w:val="44546A"/>
                <w:sz w:val="24"/>
                <w:szCs w:val="24"/>
              </w:rPr>
            </w:pPr>
            <w:r w:rsidRPr="00A95BEA">
              <w:rPr>
                <w:b/>
                <w:color w:val="44546A"/>
                <w:sz w:val="24"/>
                <w:szCs w:val="24"/>
              </w:rPr>
              <w:t>MRSA Northeast</w:t>
            </w:r>
          </w:p>
        </w:tc>
        <w:tc>
          <w:tcPr>
            <w:tcW w:w="0" w:type="auto"/>
            <w:noWrap/>
            <w:hideMark/>
          </w:tcPr>
          <w:p w14:paraId="71C1F058"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382E523C" w14:textId="77777777" w:rsidR="00A95BEA" w:rsidRPr="00A95BEA" w:rsidRDefault="00A95BEA" w:rsidP="00A95BEA">
            <w:pPr>
              <w:jc w:val="center"/>
              <w:rPr>
                <w:b/>
                <w:color w:val="44546A"/>
                <w:sz w:val="24"/>
                <w:szCs w:val="24"/>
              </w:rPr>
            </w:pPr>
            <w:r w:rsidRPr="00A95BEA">
              <w:rPr>
                <w:b/>
                <w:color w:val="44546A"/>
                <w:sz w:val="24"/>
                <w:szCs w:val="24"/>
              </w:rPr>
              <w:t>1.50%</w:t>
            </w:r>
          </w:p>
        </w:tc>
      </w:tr>
      <w:tr w:rsidR="00886A48" w:rsidRPr="00A95BEA" w14:paraId="38ACD2B8" w14:textId="77777777" w:rsidTr="00AA63D6">
        <w:trPr>
          <w:trHeight w:val="315"/>
        </w:trPr>
        <w:tc>
          <w:tcPr>
            <w:tcW w:w="0" w:type="auto"/>
            <w:noWrap/>
            <w:hideMark/>
          </w:tcPr>
          <w:p w14:paraId="2CEC7BA1"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74FA0A4"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14D25C31"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6527888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3E1F01B4" w14:textId="77777777" w:rsidTr="00AA63D6">
        <w:trPr>
          <w:trHeight w:val="315"/>
        </w:trPr>
        <w:tc>
          <w:tcPr>
            <w:tcW w:w="0" w:type="auto"/>
            <w:noWrap/>
            <w:hideMark/>
          </w:tcPr>
          <w:p w14:paraId="591CC179"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F3716A0"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3F6BBF88"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39FA238"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3D037496" w14:textId="77777777" w:rsidTr="00AA63D6">
        <w:trPr>
          <w:trHeight w:val="315"/>
        </w:trPr>
        <w:tc>
          <w:tcPr>
            <w:tcW w:w="0" w:type="auto"/>
            <w:noWrap/>
            <w:hideMark/>
          </w:tcPr>
          <w:p w14:paraId="46913B8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CA62594"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1CFC6FB1"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B55935F"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0148545" w14:textId="77777777" w:rsidTr="00AA63D6">
        <w:trPr>
          <w:trHeight w:val="315"/>
        </w:trPr>
        <w:tc>
          <w:tcPr>
            <w:tcW w:w="0" w:type="auto"/>
            <w:noWrap/>
            <w:hideMark/>
          </w:tcPr>
          <w:p w14:paraId="489C668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3150555" w14:textId="77777777" w:rsidR="00A95BEA" w:rsidRPr="00A95BEA" w:rsidRDefault="00A95BEA" w:rsidP="00A95BEA">
            <w:pPr>
              <w:jc w:val="center"/>
              <w:rPr>
                <w:b/>
                <w:color w:val="44546A"/>
                <w:sz w:val="24"/>
                <w:szCs w:val="24"/>
              </w:rPr>
            </w:pPr>
            <w:r w:rsidRPr="00A95BEA">
              <w:rPr>
                <w:b/>
                <w:color w:val="44546A"/>
                <w:sz w:val="24"/>
                <w:szCs w:val="24"/>
              </w:rPr>
              <w:t>MRSA West</w:t>
            </w:r>
          </w:p>
        </w:tc>
        <w:tc>
          <w:tcPr>
            <w:tcW w:w="0" w:type="auto"/>
            <w:noWrap/>
            <w:hideMark/>
          </w:tcPr>
          <w:p w14:paraId="487A56A2"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185A6D01"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0C067509" w14:textId="77777777" w:rsidTr="00AA63D6">
        <w:trPr>
          <w:trHeight w:val="315"/>
        </w:trPr>
        <w:tc>
          <w:tcPr>
            <w:tcW w:w="0" w:type="auto"/>
            <w:noWrap/>
            <w:hideMark/>
          </w:tcPr>
          <w:p w14:paraId="0E4993F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7BE33C9"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16D583AF"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1829860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1694D577" w14:textId="77777777" w:rsidTr="00AA63D6">
        <w:trPr>
          <w:trHeight w:val="315"/>
        </w:trPr>
        <w:tc>
          <w:tcPr>
            <w:tcW w:w="0" w:type="auto"/>
            <w:noWrap/>
            <w:hideMark/>
          </w:tcPr>
          <w:p w14:paraId="6EC4953C"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69E1D21"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AD0380D"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1034C5A" w14:textId="77777777" w:rsidR="00A95BEA" w:rsidRPr="00A95BEA" w:rsidRDefault="00A95BEA" w:rsidP="00A95BEA">
            <w:pPr>
              <w:jc w:val="center"/>
              <w:rPr>
                <w:b/>
                <w:color w:val="44546A"/>
                <w:sz w:val="24"/>
                <w:szCs w:val="24"/>
              </w:rPr>
            </w:pPr>
            <w:r w:rsidRPr="00A95BEA">
              <w:rPr>
                <w:b/>
                <w:color w:val="44546A"/>
                <w:sz w:val="24"/>
                <w:szCs w:val="24"/>
              </w:rPr>
              <w:t>2.00%</w:t>
            </w:r>
          </w:p>
        </w:tc>
      </w:tr>
      <w:tr w:rsidR="00886A48" w:rsidRPr="00A95BEA" w14:paraId="0E7DB237" w14:textId="77777777" w:rsidTr="00AA63D6">
        <w:trPr>
          <w:trHeight w:val="315"/>
        </w:trPr>
        <w:tc>
          <w:tcPr>
            <w:tcW w:w="0" w:type="auto"/>
            <w:noWrap/>
            <w:hideMark/>
          </w:tcPr>
          <w:p w14:paraId="66CDF59E"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654A1DE"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77D2719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5F5D0460"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0DE2C8D" w14:textId="77777777" w:rsidTr="00AA63D6">
        <w:trPr>
          <w:trHeight w:val="315"/>
        </w:trPr>
        <w:tc>
          <w:tcPr>
            <w:tcW w:w="0" w:type="auto"/>
            <w:noWrap/>
            <w:hideMark/>
          </w:tcPr>
          <w:p w14:paraId="072AAB92"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B04AD60" w14:textId="77777777" w:rsidR="00A95BEA" w:rsidRPr="00A95BEA" w:rsidRDefault="00A95BEA" w:rsidP="00A95BEA">
            <w:pPr>
              <w:jc w:val="center"/>
              <w:rPr>
                <w:b/>
                <w:color w:val="44546A"/>
                <w:sz w:val="24"/>
                <w:szCs w:val="24"/>
              </w:rPr>
            </w:pPr>
            <w:r w:rsidRPr="00A95BEA">
              <w:rPr>
                <w:b/>
                <w:color w:val="44546A"/>
                <w:sz w:val="24"/>
                <w:szCs w:val="24"/>
              </w:rPr>
              <w:t>Nueces</w:t>
            </w:r>
          </w:p>
        </w:tc>
        <w:tc>
          <w:tcPr>
            <w:tcW w:w="0" w:type="auto"/>
            <w:noWrap/>
            <w:hideMark/>
          </w:tcPr>
          <w:p w14:paraId="4D7BEB3B"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25FC087B" w14:textId="77777777" w:rsidR="00A95BEA" w:rsidRPr="00A95BEA" w:rsidRDefault="00A95BEA" w:rsidP="00A95BEA">
            <w:pPr>
              <w:jc w:val="center"/>
              <w:rPr>
                <w:b/>
                <w:color w:val="44546A"/>
                <w:sz w:val="24"/>
                <w:szCs w:val="24"/>
              </w:rPr>
            </w:pPr>
            <w:r w:rsidRPr="00A95BEA">
              <w:rPr>
                <w:b/>
                <w:color w:val="44546A"/>
                <w:sz w:val="24"/>
                <w:szCs w:val="24"/>
              </w:rPr>
              <w:t>3.00%</w:t>
            </w:r>
          </w:p>
        </w:tc>
      </w:tr>
      <w:tr w:rsidR="00886A48" w:rsidRPr="00A95BEA" w14:paraId="6A996F04" w14:textId="77777777" w:rsidTr="00AA63D6">
        <w:trPr>
          <w:trHeight w:val="315"/>
        </w:trPr>
        <w:tc>
          <w:tcPr>
            <w:tcW w:w="0" w:type="auto"/>
            <w:noWrap/>
            <w:hideMark/>
          </w:tcPr>
          <w:p w14:paraId="765FFD34" w14:textId="77777777" w:rsidR="00A95BEA" w:rsidRPr="00A95BEA" w:rsidRDefault="00A95BEA" w:rsidP="00A95BEA">
            <w:pPr>
              <w:jc w:val="center"/>
              <w:rPr>
                <w:b/>
                <w:color w:val="44546A"/>
                <w:sz w:val="24"/>
                <w:szCs w:val="24"/>
              </w:rPr>
            </w:pPr>
            <w:r w:rsidRPr="00A95BEA">
              <w:rPr>
                <w:b/>
                <w:color w:val="44546A"/>
                <w:sz w:val="24"/>
                <w:szCs w:val="24"/>
              </w:rPr>
              <w:lastRenderedPageBreak/>
              <w:t>STAR PLUS</w:t>
            </w:r>
          </w:p>
        </w:tc>
        <w:tc>
          <w:tcPr>
            <w:tcW w:w="0" w:type="auto"/>
            <w:noWrap/>
            <w:hideMark/>
          </w:tcPr>
          <w:p w14:paraId="5B81A7E1"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18124379"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FB33F8B"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6BC2F678" w14:textId="77777777" w:rsidTr="00AA63D6">
        <w:trPr>
          <w:trHeight w:val="315"/>
        </w:trPr>
        <w:tc>
          <w:tcPr>
            <w:tcW w:w="0" w:type="auto"/>
            <w:noWrap/>
            <w:hideMark/>
          </w:tcPr>
          <w:p w14:paraId="1B44DD26"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3BE4B579"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5012C56A"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7B2C40E8" w14:textId="77777777" w:rsidR="00A95BEA" w:rsidRPr="00A95BEA" w:rsidRDefault="00A95BEA" w:rsidP="00A95BEA">
            <w:pPr>
              <w:jc w:val="center"/>
              <w:rPr>
                <w:b/>
                <w:color w:val="44546A"/>
                <w:sz w:val="24"/>
                <w:szCs w:val="24"/>
              </w:rPr>
            </w:pPr>
            <w:r w:rsidRPr="00A95BEA">
              <w:rPr>
                <w:b/>
                <w:color w:val="44546A"/>
                <w:sz w:val="24"/>
                <w:szCs w:val="24"/>
              </w:rPr>
              <w:t>0.75%</w:t>
            </w:r>
          </w:p>
        </w:tc>
      </w:tr>
      <w:tr w:rsidR="00886A48" w:rsidRPr="00A95BEA" w14:paraId="01139C81" w14:textId="77777777" w:rsidTr="00AA63D6">
        <w:trPr>
          <w:trHeight w:val="315"/>
        </w:trPr>
        <w:tc>
          <w:tcPr>
            <w:tcW w:w="0" w:type="auto"/>
            <w:noWrap/>
            <w:hideMark/>
          </w:tcPr>
          <w:p w14:paraId="317652E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235744C2"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65F57BF9"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15A1F3D3"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5877C05C" w14:textId="77777777" w:rsidTr="00AA63D6">
        <w:trPr>
          <w:trHeight w:val="315"/>
        </w:trPr>
        <w:tc>
          <w:tcPr>
            <w:tcW w:w="0" w:type="auto"/>
            <w:noWrap/>
            <w:hideMark/>
          </w:tcPr>
          <w:p w14:paraId="6867B2D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6D44C1DD" w14:textId="77777777" w:rsidR="00A95BEA" w:rsidRPr="00A95BEA" w:rsidRDefault="00A95BEA" w:rsidP="00A95BEA">
            <w:pPr>
              <w:jc w:val="center"/>
              <w:rPr>
                <w:b/>
                <w:color w:val="44546A"/>
                <w:sz w:val="24"/>
                <w:szCs w:val="24"/>
              </w:rPr>
            </w:pPr>
            <w:r w:rsidRPr="00A95BEA">
              <w:rPr>
                <w:b/>
                <w:color w:val="44546A"/>
                <w:sz w:val="24"/>
                <w:szCs w:val="24"/>
              </w:rPr>
              <w:t>Tarrant</w:t>
            </w:r>
          </w:p>
        </w:tc>
        <w:tc>
          <w:tcPr>
            <w:tcW w:w="0" w:type="auto"/>
            <w:noWrap/>
            <w:hideMark/>
          </w:tcPr>
          <w:p w14:paraId="01CE25D6"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5C8E419B" w14:textId="77777777" w:rsidR="00A95BEA" w:rsidRPr="00A95BEA" w:rsidRDefault="00A95BEA" w:rsidP="00A95BEA">
            <w:pPr>
              <w:jc w:val="center"/>
              <w:rPr>
                <w:b/>
                <w:color w:val="44546A"/>
                <w:sz w:val="24"/>
                <w:szCs w:val="24"/>
              </w:rPr>
            </w:pPr>
            <w:r w:rsidRPr="00A95BEA">
              <w:rPr>
                <w:b/>
                <w:color w:val="44546A"/>
                <w:sz w:val="24"/>
                <w:szCs w:val="24"/>
              </w:rPr>
              <w:t>4.25%</w:t>
            </w:r>
          </w:p>
        </w:tc>
      </w:tr>
      <w:tr w:rsidR="00886A48" w:rsidRPr="00A95BEA" w14:paraId="1410317A" w14:textId="77777777" w:rsidTr="00AA63D6">
        <w:trPr>
          <w:trHeight w:val="315"/>
        </w:trPr>
        <w:tc>
          <w:tcPr>
            <w:tcW w:w="0" w:type="auto"/>
            <w:noWrap/>
            <w:hideMark/>
          </w:tcPr>
          <w:p w14:paraId="051B6D3B"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83A21D1"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392FF6F0" w14:textId="77777777" w:rsidR="00A95BEA" w:rsidRPr="00A95BEA" w:rsidRDefault="00A95BEA" w:rsidP="00A95BEA">
            <w:pPr>
              <w:jc w:val="center"/>
              <w:rPr>
                <w:b/>
                <w:color w:val="44546A"/>
                <w:sz w:val="24"/>
                <w:szCs w:val="24"/>
              </w:rPr>
            </w:pPr>
            <w:r w:rsidRPr="00A95BEA">
              <w:rPr>
                <w:b/>
                <w:color w:val="44546A"/>
                <w:sz w:val="24"/>
                <w:szCs w:val="24"/>
              </w:rPr>
              <w:t>Children’s</w:t>
            </w:r>
          </w:p>
        </w:tc>
        <w:tc>
          <w:tcPr>
            <w:tcW w:w="0" w:type="auto"/>
            <w:noWrap/>
            <w:hideMark/>
          </w:tcPr>
          <w:p w14:paraId="00212EE2"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25BA7CFA" w14:textId="77777777" w:rsidTr="00AA63D6">
        <w:trPr>
          <w:trHeight w:val="315"/>
        </w:trPr>
        <w:tc>
          <w:tcPr>
            <w:tcW w:w="0" w:type="auto"/>
            <w:noWrap/>
            <w:hideMark/>
          </w:tcPr>
          <w:p w14:paraId="4C46D097"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53BD0CB3"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69D04E6" w14:textId="77777777" w:rsidR="00A95BEA" w:rsidRPr="00A95BEA" w:rsidRDefault="00A95BEA" w:rsidP="00A95BEA">
            <w:pPr>
              <w:jc w:val="center"/>
              <w:rPr>
                <w:b/>
                <w:color w:val="44546A"/>
                <w:sz w:val="24"/>
                <w:szCs w:val="24"/>
              </w:rPr>
            </w:pPr>
            <w:r w:rsidRPr="00A95BEA">
              <w:rPr>
                <w:b/>
                <w:color w:val="44546A"/>
                <w:sz w:val="24"/>
                <w:szCs w:val="24"/>
              </w:rPr>
              <w:t>Rural</w:t>
            </w:r>
          </w:p>
        </w:tc>
        <w:tc>
          <w:tcPr>
            <w:tcW w:w="0" w:type="auto"/>
            <w:noWrap/>
            <w:hideMark/>
          </w:tcPr>
          <w:p w14:paraId="20D1A52D" w14:textId="77777777" w:rsidR="00A95BEA" w:rsidRPr="00A95BEA" w:rsidRDefault="00A95BEA" w:rsidP="00A95BEA">
            <w:pPr>
              <w:jc w:val="center"/>
              <w:rPr>
                <w:b/>
                <w:color w:val="44546A"/>
                <w:sz w:val="24"/>
                <w:szCs w:val="24"/>
              </w:rPr>
            </w:pPr>
            <w:r w:rsidRPr="00A95BEA">
              <w:rPr>
                <w:b/>
                <w:color w:val="44546A"/>
                <w:sz w:val="24"/>
                <w:szCs w:val="24"/>
              </w:rPr>
              <w:t>0.50%</w:t>
            </w:r>
          </w:p>
        </w:tc>
      </w:tr>
      <w:tr w:rsidR="00886A48" w:rsidRPr="00A95BEA" w14:paraId="79DC7078" w14:textId="77777777" w:rsidTr="00AA63D6">
        <w:trPr>
          <w:trHeight w:val="315"/>
        </w:trPr>
        <w:tc>
          <w:tcPr>
            <w:tcW w:w="0" w:type="auto"/>
            <w:noWrap/>
            <w:hideMark/>
          </w:tcPr>
          <w:p w14:paraId="7E593D30"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408D4762"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06F858A4" w14:textId="77777777" w:rsidR="00A95BEA" w:rsidRPr="00A95BEA" w:rsidRDefault="00A95BEA" w:rsidP="00A95BEA">
            <w:pPr>
              <w:jc w:val="center"/>
              <w:rPr>
                <w:b/>
                <w:color w:val="44546A"/>
                <w:sz w:val="24"/>
                <w:szCs w:val="24"/>
              </w:rPr>
            </w:pPr>
            <w:r w:rsidRPr="00A95BEA">
              <w:rPr>
                <w:b/>
                <w:color w:val="44546A"/>
                <w:sz w:val="24"/>
                <w:szCs w:val="24"/>
              </w:rPr>
              <w:t>State-owned non-IMD</w:t>
            </w:r>
          </w:p>
        </w:tc>
        <w:tc>
          <w:tcPr>
            <w:tcW w:w="0" w:type="auto"/>
            <w:noWrap/>
            <w:hideMark/>
          </w:tcPr>
          <w:p w14:paraId="006D3D7C" w14:textId="77777777" w:rsidR="00A95BEA" w:rsidRPr="00A95BEA" w:rsidRDefault="00A95BEA" w:rsidP="00A95BEA">
            <w:pPr>
              <w:jc w:val="center"/>
              <w:rPr>
                <w:b/>
                <w:color w:val="44546A"/>
                <w:sz w:val="24"/>
                <w:szCs w:val="24"/>
              </w:rPr>
            </w:pPr>
            <w:r w:rsidRPr="00A95BEA">
              <w:rPr>
                <w:b/>
                <w:color w:val="44546A"/>
                <w:sz w:val="24"/>
                <w:szCs w:val="24"/>
              </w:rPr>
              <w:t>0.00%</w:t>
            </w:r>
          </w:p>
        </w:tc>
      </w:tr>
      <w:tr w:rsidR="00886A48" w:rsidRPr="00A95BEA" w14:paraId="47340C98" w14:textId="77777777" w:rsidTr="00AA63D6">
        <w:trPr>
          <w:trHeight w:val="315"/>
        </w:trPr>
        <w:tc>
          <w:tcPr>
            <w:tcW w:w="0" w:type="auto"/>
            <w:noWrap/>
            <w:hideMark/>
          </w:tcPr>
          <w:p w14:paraId="18D3B52A" w14:textId="77777777" w:rsidR="00A95BEA" w:rsidRPr="00A95BEA" w:rsidRDefault="00A95BEA" w:rsidP="00A95BEA">
            <w:pPr>
              <w:jc w:val="center"/>
              <w:rPr>
                <w:b/>
                <w:color w:val="44546A"/>
                <w:sz w:val="24"/>
                <w:szCs w:val="24"/>
              </w:rPr>
            </w:pPr>
            <w:r w:rsidRPr="00A95BEA">
              <w:rPr>
                <w:b/>
                <w:color w:val="44546A"/>
                <w:sz w:val="24"/>
                <w:szCs w:val="24"/>
              </w:rPr>
              <w:t>STAR PLUS</w:t>
            </w:r>
          </w:p>
        </w:tc>
        <w:tc>
          <w:tcPr>
            <w:tcW w:w="0" w:type="auto"/>
            <w:noWrap/>
            <w:hideMark/>
          </w:tcPr>
          <w:p w14:paraId="0CD9DE28" w14:textId="77777777" w:rsidR="00A95BEA" w:rsidRPr="00A95BEA" w:rsidRDefault="00A95BEA" w:rsidP="00A95BEA">
            <w:pPr>
              <w:jc w:val="center"/>
              <w:rPr>
                <w:b/>
                <w:color w:val="44546A"/>
                <w:sz w:val="24"/>
                <w:szCs w:val="24"/>
              </w:rPr>
            </w:pPr>
            <w:r w:rsidRPr="00A95BEA">
              <w:rPr>
                <w:b/>
                <w:color w:val="44546A"/>
                <w:sz w:val="24"/>
                <w:szCs w:val="24"/>
              </w:rPr>
              <w:t>Travis</w:t>
            </w:r>
          </w:p>
        </w:tc>
        <w:tc>
          <w:tcPr>
            <w:tcW w:w="0" w:type="auto"/>
            <w:noWrap/>
            <w:hideMark/>
          </w:tcPr>
          <w:p w14:paraId="1D2C6C77" w14:textId="77777777" w:rsidR="00A95BEA" w:rsidRPr="00A95BEA" w:rsidRDefault="00A95BEA" w:rsidP="00A95BEA">
            <w:pPr>
              <w:jc w:val="center"/>
              <w:rPr>
                <w:b/>
                <w:color w:val="44546A"/>
                <w:sz w:val="24"/>
                <w:szCs w:val="24"/>
              </w:rPr>
            </w:pPr>
            <w:r w:rsidRPr="00A95BEA">
              <w:rPr>
                <w:b/>
                <w:color w:val="44546A"/>
                <w:sz w:val="24"/>
                <w:szCs w:val="24"/>
              </w:rPr>
              <w:t>Urban</w:t>
            </w:r>
          </w:p>
        </w:tc>
        <w:tc>
          <w:tcPr>
            <w:tcW w:w="0" w:type="auto"/>
            <w:noWrap/>
            <w:hideMark/>
          </w:tcPr>
          <w:p w14:paraId="4C49D318" w14:textId="77777777" w:rsidR="00A95BEA" w:rsidRPr="00A95BEA" w:rsidRDefault="00A95BEA" w:rsidP="00A95BEA">
            <w:pPr>
              <w:jc w:val="center"/>
              <w:rPr>
                <w:b/>
                <w:color w:val="44546A"/>
                <w:sz w:val="24"/>
                <w:szCs w:val="24"/>
              </w:rPr>
            </w:pPr>
            <w:r w:rsidRPr="00A95BEA">
              <w:rPr>
                <w:b/>
                <w:color w:val="44546A"/>
                <w:sz w:val="24"/>
                <w:szCs w:val="24"/>
              </w:rPr>
              <w:t>4.50%</w:t>
            </w:r>
          </w:p>
        </w:tc>
      </w:tr>
    </w:tbl>
    <w:p w14:paraId="7C67EA3A" w14:textId="77777777" w:rsidR="001E7B3E" w:rsidRDefault="001E7B3E" w:rsidP="001E7B3E">
      <w:pPr>
        <w:jc w:val="center"/>
        <w:rPr>
          <w:b/>
          <w:color w:val="44546A"/>
          <w:sz w:val="24"/>
          <w:szCs w:val="24"/>
        </w:rPr>
      </w:pPr>
    </w:p>
    <w:p w14:paraId="1F3ED4E6" w14:textId="337AFBA7" w:rsidR="00626291" w:rsidRDefault="00626291">
      <w:pPr>
        <w:rPr>
          <w:b/>
          <w:color w:val="44546A"/>
          <w:sz w:val="24"/>
          <w:szCs w:val="24"/>
        </w:rPr>
      </w:pPr>
    </w:p>
    <w:sectPr w:rsidR="00626291" w:rsidSect="00D42C91">
      <w:headerReference w:type="default" r:id="rId8"/>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A1BE" w14:textId="77777777" w:rsidR="00694FA1" w:rsidRDefault="00694FA1" w:rsidP="00D42C91">
      <w:pPr>
        <w:spacing w:line="240" w:lineRule="auto"/>
      </w:pPr>
      <w:r>
        <w:separator/>
      </w:r>
    </w:p>
  </w:endnote>
  <w:endnote w:type="continuationSeparator" w:id="0">
    <w:p w14:paraId="3D0F8893" w14:textId="77777777" w:rsidR="00694FA1" w:rsidRDefault="00694FA1" w:rsidP="00D42C91">
      <w:pPr>
        <w:spacing w:line="240" w:lineRule="auto"/>
      </w:pPr>
      <w:r>
        <w:continuationSeparator/>
      </w:r>
    </w:p>
  </w:endnote>
  <w:endnote w:type="continuationNotice" w:id="1">
    <w:p w14:paraId="052EDC49" w14:textId="77777777" w:rsidR="00694FA1" w:rsidRDefault="00694F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08422"/>
      <w:docPartObj>
        <w:docPartGallery w:val="Page Numbers (Bottom of Page)"/>
        <w:docPartUnique/>
      </w:docPartObj>
    </w:sdtPr>
    <w:sdtEndPr>
      <w:rPr>
        <w:noProof/>
      </w:rPr>
    </w:sdtEndPr>
    <w:sdtContent>
      <w:p w14:paraId="339C28AE" w14:textId="1EC94C9A" w:rsidR="0056620D" w:rsidRDefault="0056620D" w:rsidP="008D0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FB3" w14:textId="77777777" w:rsidR="00694FA1" w:rsidRDefault="00694FA1" w:rsidP="00D42C91">
      <w:pPr>
        <w:spacing w:line="240" w:lineRule="auto"/>
      </w:pPr>
      <w:r>
        <w:separator/>
      </w:r>
    </w:p>
  </w:footnote>
  <w:footnote w:type="continuationSeparator" w:id="0">
    <w:p w14:paraId="48BD654A" w14:textId="77777777" w:rsidR="00694FA1" w:rsidRDefault="00694FA1" w:rsidP="00D42C91">
      <w:pPr>
        <w:spacing w:line="240" w:lineRule="auto"/>
      </w:pPr>
      <w:r>
        <w:continuationSeparator/>
      </w:r>
    </w:p>
  </w:footnote>
  <w:footnote w:type="continuationNotice" w:id="1">
    <w:p w14:paraId="4EB6E5BC" w14:textId="77777777" w:rsidR="00694FA1" w:rsidRDefault="00694FA1">
      <w:pPr>
        <w:spacing w:line="240" w:lineRule="auto"/>
      </w:pPr>
    </w:p>
  </w:footnote>
  <w:footnote w:id="2">
    <w:p w14:paraId="6FD95E4B" w14:textId="5CA6BF81" w:rsidR="00975B11" w:rsidRDefault="00975B11">
      <w:pPr>
        <w:pStyle w:val="FootnoteText"/>
      </w:pPr>
      <w:r>
        <w:rPr>
          <w:rStyle w:val="FootnoteReference"/>
        </w:rPr>
        <w:footnoteRef/>
      </w:r>
      <w:r>
        <w:t xml:space="preserve"> Measures are subject to change based upon operational considerations</w:t>
      </w:r>
      <w:r w:rsidR="001D2B5B">
        <w:t xml:space="preserve">, technical assistance on reporting requirements, </w:t>
      </w:r>
      <w:r w:rsidR="00780661">
        <w:t xml:space="preserve">and </w:t>
      </w:r>
      <w:r w:rsidR="001D2B5B">
        <w:t>input from stakeholders</w:t>
      </w:r>
      <w:r w:rsidR="00A7366A">
        <w:t xml:space="preserve">. Percentage of funding available by </w:t>
      </w:r>
      <w:r w:rsidR="009020D6">
        <w:t xml:space="preserve">MCO model, SDA, and network class for each MCO may vary to ensure incentives are scaled </w:t>
      </w:r>
      <w:r w:rsidR="007748C1" w:rsidRPr="007748C1">
        <w:t xml:space="preserve">appropriately </w:t>
      </w:r>
      <w:r w:rsidR="009020D6">
        <w:t>to level of effort and difficulty of achievement.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6289" w14:textId="4588526F" w:rsidR="00D42C91" w:rsidRDefault="00000000" w:rsidP="00441B46">
    <w:pPr>
      <w:jc w:val="center"/>
    </w:pPr>
    <w:sdt>
      <w:sdtPr>
        <w:rPr>
          <w:rFonts w:eastAsia="Times New Roman"/>
          <w:color w:val="44546A"/>
          <w:sz w:val="24"/>
          <w:szCs w:val="24"/>
        </w:rPr>
        <w:id w:val="1513032745"/>
        <w:docPartObj>
          <w:docPartGallery w:val="Watermarks"/>
          <w:docPartUnique/>
        </w:docPartObj>
      </w:sdtPr>
      <w:sdtContent>
        <w:r>
          <w:rPr>
            <w:rFonts w:eastAsia="Times New Roman"/>
            <w:noProof/>
            <w:color w:val="44546A"/>
            <w:sz w:val="24"/>
            <w:szCs w:val="24"/>
          </w:rPr>
          <w:pict w14:anchorId="571DF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2C91">
      <w:rPr>
        <w:rFonts w:eastAsia="Times New Roman"/>
        <w:color w:val="44546A"/>
        <w:sz w:val="24"/>
        <w:szCs w:val="24"/>
      </w:rPr>
      <w:t xml:space="preserve">The Medicaid Managed Care Aligning Technology by Linking Interoperable Systems </w:t>
    </w:r>
    <w:r w:rsidR="007748C1">
      <w:rPr>
        <w:rFonts w:eastAsia="Times New Roman"/>
        <w:color w:val="44546A"/>
        <w:sz w:val="24"/>
        <w:szCs w:val="24"/>
      </w:rPr>
      <w:t>for</w:t>
    </w:r>
    <w:r w:rsidR="00D42C91">
      <w:rPr>
        <w:rFonts w:eastAsia="Times New Roman"/>
        <w:color w:val="44546A"/>
        <w:sz w:val="24"/>
        <w:szCs w:val="24"/>
      </w:rPr>
      <w:t xml:space="preserve"> Client Health Outcomes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2143D5D"/>
    <w:multiLevelType w:val="hybridMultilevel"/>
    <w:tmpl w:val="9EFA8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F6D166C"/>
    <w:multiLevelType w:val="hybridMultilevel"/>
    <w:tmpl w:val="C314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C4D93"/>
    <w:multiLevelType w:val="hybridMultilevel"/>
    <w:tmpl w:val="4AC4C30A"/>
    <w:lvl w:ilvl="0" w:tplc="A5A08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D601CC"/>
    <w:multiLevelType w:val="hybridMultilevel"/>
    <w:tmpl w:val="825EF6C8"/>
    <w:lvl w:ilvl="0" w:tplc="89F89428">
      <w:start w:val="5"/>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50429C4"/>
    <w:multiLevelType w:val="hybridMultilevel"/>
    <w:tmpl w:val="8D08F3C8"/>
    <w:lvl w:ilvl="0" w:tplc="FB1E7780">
      <w:start w:val="3"/>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65875"/>
    <w:multiLevelType w:val="hybridMultilevel"/>
    <w:tmpl w:val="C20AA924"/>
    <w:lvl w:ilvl="0" w:tplc="A5A08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071473">
    <w:abstractNumId w:val="10"/>
  </w:num>
  <w:num w:numId="2" w16cid:durableId="91635562">
    <w:abstractNumId w:val="10"/>
  </w:num>
  <w:num w:numId="3" w16cid:durableId="505173982">
    <w:abstractNumId w:val="10"/>
  </w:num>
  <w:num w:numId="4" w16cid:durableId="481049318">
    <w:abstractNumId w:val="9"/>
  </w:num>
  <w:num w:numId="5" w16cid:durableId="50425788">
    <w:abstractNumId w:val="7"/>
  </w:num>
  <w:num w:numId="6" w16cid:durableId="654068098">
    <w:abstractNumId w:val="6"/>
  </w:num>
  <w:num w:numId="7" w16cid:durableId="1704330010">
    <w:abstractNumId w:val="5"/>
  </w:num>
  <w:num w:numId="8" w16cid:durableId="345638481">
    <w:abstractNumId w:val="4"/>
  </w:num>
  <w:num w:numId="9" w16cid:durableId="1914923259">
    <w:abstractNumId w:val="8"/>
  </w:num>
  <w:num w:numId="10" w16cid:durableId="1541820639">
    <w:abstractNumId w:val="3"/>
  </w:num>
  <w:num w:numId="11" w16cid:durableId="1415123988">
    <w:abstractNumId w:val="2"/>
  </w:num>
  <w:num w:numId="12" w16cid:durableId="853543146">
    <w:abstractNumId w:val="1"/>
  </w:num>
  <w:num w:numId="13" w16cid:durableId="142356626">
    <w:abstractNumId w:val="0"/>
  </w:num>
  <w:num w:numId="14" w16cid:durableId="1876380910">
    <w:abstractNumId w:val="10"/>
  </w:num>
  <w:num w:numId="15" w16cid:durableId="554658293">
    <w:abstractNumId w:val="20"/>
  </w:num>
  <w:num w:numId="16" w16cid:durableId="424545084">
    <w:abstractNumId w:val="20"/>
  </w:num>
  <w:num w:numId="17" w16cid:durableId="1509442236">
    <w:abstractNumId w:val="14"/>
  </w:num>
  <w:num w:numId="18" w16cid:durableId="283535537">
    <w:abstractNumId w:val="20"/>
  </w:num>
  <w:num w:numId="19" w16cid:durableId="746728424">
    <w:abstractNumId w:val="13"/>
  </w:num>
  <w:num w:numId="20" w16cid:durableId="396827993">
    <w:abstractNumId w:val="20"/>
  </w:num>
  <w:num w:numId="21" w16cid:durableId="2105808029">
    <w:abstractNumId w:val="20"/>
  </w:num>
  <w:num w:numId="22" w16cid:durableId="1542672547">
    <w:abstractNumId w:val="20"/>
  </w:num>
  <w:num w:numId="23" w16cid:durableId="225116217">
    <w:abstractNumId w:val="20"/>
  </w:num>
  <w:num w:numId="24" w16cid:durableId="1018703590">
    <w:abstractNumId w:val="20"/>
  </w:num>
  <w:num w:numId="25" w16cid:durableId="1191530347">
    <w:abstractNumId w:val="18"/>
  </w:num>
  <w:num w:numId="26" w16cid:durableId="220870477">
    <w:abstractNumId w:val="20"/>
  </w:num>
  <w:num w:numId="27" w16cid:durableId="542794189">
    <w:abstractNumId w:val="17"/>
  </w:num>
  <w:num w:numId="28" w16cid:durableId="1609005176">
    <w:abstractNumId w:val="14"/>
  </w:num>
  <w:num w:numId="29" w16cid:durableId="806511292">
    <w:abstractNumId w:val="20"/>
  </w:num>
  <w:num w:numId="30" w16cid:durableId="682172615">
    <w:abstractNumId w:val="18"/>
  </w:num>
  <w:num w:numId="31" w16cid:durableId="819271862">
    <w:abstractNumId w:val="20"/>
  </w:num>
  <w:num w:numId="32" w16cid:durableId="952975561">
    <w:abstractNumId w:val="17"/>
  </w:num>
  <w:num w:numId="33" w16cid:durableId="935749201">
    <w:abstractNumId w:val="20"/>
  </w:num>
  <w:num w:numId="34" w16cid:durableId="1749765013">
    <w:abstractNumId w:val="14"/>
  </w:num>
  <w:num w:numId="35" w16cid:durableId="39717838">
    <w:abstractNumId w:val="18"/>
  </w:num>
  <w:num w:numId="36" w16cid:durableId="87505075">
    <w:abstractNumId w:val="20"/>
  </w:num>
  <w:num w:numId="37" w16cid:durableId="508108020">
    <w:abstractNumId w:val="17"/>
  </w:num>
  <w:num w:numId="38" w16cid:durableId="274408798">
    <w:abstractNumId w:val="18"/>
  </w:num>
  <w:num w:numId="39" w16cid:durableId="611472153">
    <w:abstractNumId w:val="11"/>
  </w:num>
  <w:num w:numId="40" w16cid:durableId="1343435827">
    <w:abstractNumId w:val="21"/>
  </w:num>
  <w:num w:numId="41" w16cid:durableId="506944788">
    <w:abstractNumId w:val="12"/>
  </w:num>
  <w:num w:numId="42" w16cid:durableId="921331804">
    <w:abstractNumId w:val="19"/>
  </w:num>
  <w:num w:numId="43" w16cid:durableId="621762526">
    <w:abstractNumId w:val="15"/>
  </w:num>
  <w:num w:numId="44" w16cid:durableId="50348108">
    <w:abstractNumId w:val="16"/>
  </w:num>
  <w:num w:numId="45" w16cid:durableId="1662201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91"/>
    <w:rsid w:val="00003052"/>
    <w:rsid w:val="00003F52"/>
    <w:rsid w:val="000108B6"/>
    <w:rsid w:val="00011866"/>
    <w:rsid w:val="00012482"/>
    <w:rsid w:val="00015723"/>
    <w:rsid w:val="0003310E"/>
    <w:rsid w:val="00035E22"/>
    <w:rsid w:val="00051D10"/>
    <w:rsid w:val="00062017"/>
    <w:rsid w:val="00075B21"/>
    <w:rsid w:val="00077ADF"/>
    <w:rsid w:val="00086875"/>
    <w:rsid w:val="000A0F2E"/>
    <w:rsid w:val="000C1F64"/>
    <w:rsid w:val="000D2ACB"/>
    <w:rsid w:val="000E6BBE"/>
    <w:rsid w:val="000F314E"/>
    <w:rsid w:val="000F3C9B"/>
    <w:rsid w:val="00100E55"/>
    <w:rsid w:val="00101E2E"/>
    <w:rsid w:val="00121D85"/>
    <w:rsid w:val="00121F81"/>
    <w:rsid w:val="001246FF"/>
    <w:rsid w:val="001301BB"/>
    <w:rsid w:val="00143D54"/>
    <w:rsid w:val="001448EE"/>
    <w:rsid w:val="00145624"/>
    <w:rsid w:val="00151BFA"/>
    <w:rsid w:val="00160F66"/>
    <w:rsid w:val="00166857"/>
    <w:rsid w:val="0017042D"/>
    <w:rsid w:val="001714CB"/>
    <w:rsid w:val="0017557A"/>
    <w:rsid w:val="001767A8"/>
    <w:rsid w:val="001778C0"/>
    <w:rsid w:val="0018194A"/>
    <w:rsid w:val="001828EB"/>
    <w:rsid w:val="001835CC"/>
    <w:rsid w:val="00190C29"/>
    <w:rsid w:val="001923D3"/>
    <w:rsid w:val="0019260E"/>
    <w:rsid w:val="0019346A"/>
    <w:rsid w:val="00195D4D"/>
    <w:rsid w:val="001968C6"/>
    <w:rsid w:val="0019695A"/>
    <w:rsid w:val="001A36DD"/>
    <w:rsid w:val="001B16A8"/>
    <w:rsid w:val="001C23E5"/>
    <w:rsid w:val="001C6029"/>
    <w:rsid w:val="001C6515"/>
    <w:rsid w:val="001C698E"/>
    <w:rsid w:val="001C6DFF"/>
    <w:rsid w:val="001D2B5B"/>
    <w:rsid w:val="001E4E30"/>
    <w:rsid w:val="001E6B7F"/>
    <w:rsid w:val="001E7579"/>
    <w:rsid w:val="001E7B3E"/>
    <w:rsid w:val="001F4820"/>
    <w:rsid w:val="001F5620"/>
    <w:rsid w:val="00211715"/>
    <w:rsid w:val="00235340"/>
    <w:rsid w:val="00241508"/>
    <w:rsid w:val="00241DE7"/>
    <w:rsid w:val="002544DA"/>
    <w:rsid w:val="00254BD8"/>
    <w:rsid w:val="00255AA8"/>
    <w:rsid w:val="00266781"/>
    <w:rsid w:val="00275470"/>
    <w:rsid w:val="00283301"/>
    <w:rsid w:val="00287383"/>
    <w:rsid w:val="002964FB"/>
    <w:rsid w:val="002A52CE"/>
    <w:rsid w:val="002C13C4"/>
    <w:rsid w:val="002C2D64"/>
    <w:rsid w:val="002C5B6B"/>
    <w:rsid w:val="002C7EE8"/>
    <w:rsid w:val="002D56A2"/>
    <w:rsid w:val="002E169A"/>
    <w:rsid w:val="002E7151"/>
    <w:rsid w:val="002E73AD"/>
    <w:rsid w:val="00307148"/>
    <w:rsid w:val="00307FAF"/>
    <w:rsid w:val="003106D1"/>
    <w:rsid w:val="00313009"/>
    <w:rsid w:val="0032052B"/>
    <w:rsid w:val="00324F89"/>
    <w:rsid w:val="0033383E"/>
    <w:rsid w:val="0034030F"/>
    <w:rsid w:val="00345F8A"/>
    <w:rsid w:val="0035217E"/>
    <w:rsid w:val="0035392F"/>
    <w:rsid w:val="00361044"/>
    <w:rsid w:val="00371E22"/>
    <w:rsid w:val="003759E5"/>
    <w:rsid w:val="00377674"/>
    <w:rsid w:val="00393D3E"/>
    <w:rsid w:val="003A193C"/>
    <w:rsid w:val="003A2C00"/>
    <w:rsid w:val="003A6FF1"/>
    <w:rsid w:val="003B2826"/>
    <w:rsid w:val="003B5F4B"/>
    <w:rsid w:val="003B7D18"/>
    <w:rsid w:val="003C1F25"/>
    <w:rsid w:val="003C4EA5"/>
    <w:rsid w:val="003D3393"/>
    <w:rsid w:val="003D5015"/>
    <w:rsid w:val="003F1869"/>
    <w:rsid w:val="003F2B63"/>
    <w:rsid w:val="003F344D"/>
    <w:rsid w:val="004013E5"/>
    <w:rsid w:val="004017B0"/>
    <w:rsid w:val="00407BE6"/>
    <w:rsid w:val="00414B53"/>
    <w:rsid w:val="00416C74"/>
    <w:rsid w:val="0043582B"/>
    <w:rsid w:val="00441269"/>
    <w:rsid w:val="00441B46"/>
    <w:rsid w:val="004441C5"/>
    <w:rsid w:val="0044445A"/>
    <w:rsid w:val="00451D74"/>
    <w:rsid w:val="004654AE"/>
    <w:rsid w:val="0046719F"/>
    <w:rsid w:val="00467816"/>
    <w:rsid w:val="0048680D"/>
    <w:rsid w:val="00497A58"/>
    <w:rsid w:val="004A1A49"/>
    <w:rsid w:val="004A332E"/>
    <w:rsid w:val="004A477D"/>
    <w:rsid w:val="004A7518"/>
    <w:rsid w:val="004B2023"/>
    <w:rsid w:val="004B3E1A"/>
    <w:rsid w:val="004B77F8"/>
    <w:rsid w:val="004C1A6E"/>
    <w:rsid w:val="004C5729"/>
    <w:rsid w:val="004D3148"/>
    <w:rsid w:val="004E024A"/>
    <w:rsid w:val="004F0CF5"/>
    <w:rsid w:val="004F6769"/>
    <w:rsid w:val="005104DA"/>
    <w:rsid w:val="00517E88"/>
    <w:rsid w:val="00526CA1"/>
    <w:rsid w:val="005279DB"/>
    <w:rsid w:val="005305F8"/>
    <w:rsid w:val="005458A3"/>
    <w:rsid w:val="005646CF"/>
    <w:rsid w:val="0056620D"/>
    <w:rsid w:val="00567D98"/>
    <w:rsid w:val="00572426"/>
    <w:rsid w:val="0057500B"/>
    <w:rsid w:val="005801A0"/>
    <w:rsid w:val="00583CC2"/>
    <w:rsid w:val="00585E7A"/>
    <w:rsid w:val="005867DE"/>
    <w:rsid w:val="00595B56"/>
    <w:rsid w:val="0059629A"/>
    <w:rsid w:val="005B630F"/>
    <w:rsid w:val="005C1295"/>
    <w:rsid w:val="005C4E39"/>
    <w:rsid w:val="005D086A"/>
    <w:rsid w:val="005E1525"/>
    <w:rsid w:val="005E1DA7"/>
    <w:rsid w:val="005E34CB"/>
    <w:rsid w:val="005E4B1A"/>
    <w:rsid w:val="005E65AD"/>
    <w:rsid w:val="005F3835"/>
    <w:rsid w:val="005F6B5F"/>
    <w:rsid w:val="00611F49"/>
    <w:rsid w:val="006126AC"/>
    <w:rsid w:val="00620836"/>
    <w:rsid w:val="00625669"/>
    <w:rsid w:val="00626291"/>
    <w:rsid w:val="006343C6"/>
    <w:rsid w:val="00634B98"/>
    <w:rsid w:val="00635052"/>
    <w:rsid w:val="00643698"/>
    <w:rsid w:val="006459B6"/>
    <w:rsid w:val="00650683"/>
    <w:rsid w:val="0065479C"/>
    <w:rsid w:val="006604D0"/>
    <w:rsid w:val="00661D3D"/>
    <w:rsid w:val="0067157B"/>
    <w:rsid w:val="006806E7"/>
    <w:rsid w:val="00690264"/>
    <w:rsid w:val="006909E2"/>
    <w:rsid w:val="00693564"/>
    <w:rsid w:val="006942D7"/>
    <w:rsid w:val="00694FA1"/>
    <w:rsid w:val="00695D62"/>
    <w:rsid w:val="006A0F07"/>
    <w:rsid w:val="006A1CCA"/>
    <w:rsid w:val="006A45AC"/>
    <w:rsid w:val="006B5F7D"/>
    <w:rsid w:val="006B77E8"/>
    <w:rsid w:val="006C16A3"/>
    <w:rsid w:val="006C3389"/>
    <w:rsid w:val="006C7D37"/>
    <w:rsid w:val="006D71AF"/>
    <w:rsid w:val="006E21EA"/>
    <w:rsid w:val="006F64FE"/>
    <w:rsid w:val="006F6C3B"/>
    <w:rsid w:val="007007DD"/>
    <w:rsid w:val="007051A3"/>
    <w:rsid w:val="00706746"/>
    <w:rsid w:val="007069A0"/>
    <w:rsid w:val="007113D0"/>
    <w:rsid w:val="00724233"/>
    <w:rsid w:val="007247A3"/>
    <w:rsid w:val="007331A3"/>
    <w:rsid w:val="00737AB4"/>
    <w:rsid w:val="00737E63"/>
    <w:rsid w:val="0074149B"/>
    <w:rsid w:val="00744007"/>
    <w:rsid w:val="00744280"/>
    <w:rsid w:val="00756C33"/>
    <w:rsid w:val="007613AE"/>
    <w:rsid w:val="0076471D"/>
    <w:rsid w:val="00773E70"/>
    <w:rsid w:val="007748C1"/>
    <w:rsid w:val="00780661"/>
    <w:rsid w:val="007A221C"/>
    <w:rsid w:val="007A3DBD"/>
    <w:rsid w:val="007A4240"/>
    <w:rsid w:val="007A54D3"/>
    <w:rsid w:val="007B00BF"/>
    <w:rsid w:val="007B0EA8"/>
    <w:rsid w:val="007B3AD0"/>
    <w:rsid w:val="007B4005"/>
    <w:rsid w:val="007B4340"/>
    <w:rsid w:val="007B7ED6"/>
    <w:rsid w:val="007C2B6A"/>
    <w:rsid w:val="007C4258"/>
    <w:rsid w:val="007C58EC"/>
    <w:rsid w:val="007D3635"/>
    <w:rsid w:val="007E60D2"/>
    <w:rsid w:val="007E6521"/>
    <w:rsid w:val="007F48BC"/>
    <w:rsid w:val="00801938"/>
    <w:rsid w:val="00805DD0"/>
    <w:rsid w:val="008129E0"/>
    <w:rsid w:val="00814CAE"/>
    <w:rsid w:val="008162B1"/>
    <w:rsid w:val="00822C05"/>
    <w:rsid w:val="0083349E"/>
    <w:rsid w:val="008335FC"/>
    <w:rsid w:val="00834B05"/>
    <w:rsid w:val="00845480"/>
    <w:rsid w:val="008467B1"/>
    <w:rsid w:val="008501E4"/>
    <w:rsid w:val="0085221C"/>
    <w:rsid w:val="0086472E"/>
    <w:rsid w:val="00870B30"/>
    <w:rsid w:val="00872803"/>
    <w:rsid w:val="008804C3"/>
    <w:rsid w:val="00886A48"/>
    <w:rsid w:val="00886D4B"/>
    <w:rsid w:val="0089319D"/>
    <w:rsid w:val="008A4F1F"/>
    <w:rsid w:val="008B0B37"/>
    <w:rsid w:val="008B3310"/>
    <w:rsid w:val="008B7901"/>
    <w:rsid w:val="008C0EF4"/>
    <w:rsid w:val="008C162D"/>
    <w:rsid w:val="008C33E1"/>
    <w:rsid w:val="008C4AEA"/>
    <w:rsid w:val="008C7EE7"/>
    <w:rsid w:val="008D040F"/>
    <w:rsid w:val="008D5A14"/>
    <w:rsid w:val="008D5BE1"/>
    <w:rsid w:val="008E04F3"/>
    <w:rsid w:val="008E2763"/>
    <w:rsid w:val="00900A3C"/>
    <w:rsid w:val="009020D6"/>
    <w:rsid w:val="009072CD"/>
    <w:rsid w:val="00924591"/>
    <w:rsid w:val="00933B8B"/>
    <w:rsid w:val="009352B8"/>
    <w:rsid w:val="009366F6"/>
    <w:rsid w:val="009408CB"/>
    <w:rsid w:val="00941260"/>
    <w:rsid w:val="00943571"/>
    <w:rsid w:val="009466F4"/>
    <w:rsid w:val="00947E65"/>
    <w:rsid w:val="00957EFD"/>
    <w:rsid w:val="00963002"/>
    <w:rsid w:val="009637FD"/>
    <w:rsid w:val="0096540E"/>
    <w:rsid w:val="0097013C"/>
    <w:rsid w:val="00973878"/>
    <w:rsid w:val="00975B11"/>
    <w:rsid w:val="009825EF"/>
    <w:rsid w:val="00985CC8"/>
    <w:rsid w:val="00992BEE"/>
    <w:rsid w:val="00994133"/>
    <w:rsid w:val="0099462E"/>
    <w:rsid w:val="009A1C99"/>
    <w:rsid w:val="009A59AE"/>
    <w:rsid w:val="009B408B"/>
    <w:rsid w:val="009B563E"/>
    <w:rsid w:val="009B7E22"/>
    <w:rsid w:val="009C1BEA"/>
    <w:rsid w:val="009C3B7B"/>
    <w:rsid w:val="009C6728"/>
    <w:rsid w:val="009D6CA2"/>
    <w:rsid w:val="009E3AF9"/>
    <w:rsid w:val="009F1D27"/>
    <w:rsid w:val="009F6564"/>
    <w:rsid w:val="00A02421"/>
    <w:rsid w:val="00A065AB"/>
    <w:rsid w:val="00A218E3"/>
    <w:rsid w:val="00A25613"/>
    <w:rsid w:val="00A33472"/>
    <w:rsid w:val="00A3547F"/>
    <w:rsid w:val="00A3795E"/>
    <w:rsid w:val="00A4162F"/>
    <w:rsid w:val="00A533A2"/>
    <w:rsid w:val="00A544F9"/>
    <w:rsid w:val="00A54511"/>
    <w:rsid w:val="00A54BF2"/>
    <w:rsid w:val="00A63129"/>
    <w:rsid w:val="00A64828"/>
    <w:rsid w:val="00A65AAE"/>
    <w:rsid w:val="00A7366A"/>
    <w:rsid w:val="00A7390F"/>
    <w:rsid w:val="00A75821"/>
    <w:rsid w:val="00A85EF7"/>
    <w:rsid w:val="00A95BEA"/>
    <w:rsid w:val="00A96E5C"/>
    <w:rsid w:val="00AA63D6"/>
    <w:rsid w:val="00AA7CE9"/>
    <w:rsid w:val="00AB3D2D"/>
    <w:rsid w:val="00AC0400"/>
    <w:rsid w:val="00AC29AA"/>
    <w:rsid w:val="00AC48DF"/>
    <w:rsid w:val="00AC5B3E"/>
    <w:rsid w:val="00AE7B8A"/>
    <w:rsid w:val="00B01B26"/>
    <w:rsid w:val="00B02CF4"/>
    <w:rsid w:val="00B12302"/>
    <w:rsid w:val="00B143C8"/>
    <w:rsid w:val="00B173E1"/>
    <w:rsid w:val="00B175D4"/>
    <w:rsid w:val="00B255C7"/>
    <w:rsid w:val="00B27012"/>
    <w:rsid w:val="00B313C2"/>
    <w:rsid w:val="00B4373D"/>
    <w:rsid w:val="00B46AE7"/>
    <w:rsid w:val="00B50545"/>
    <w:rsid w:val="00B538E5"/>
    <w:rsid w:val="00B5476C"/>
    <w:rsid w:val="00B63435"/>
    <w:rsid w:val="00B66874"/>
    <w:rsid w:val="00B75990"/>
    <w:rsid w:val="00B953DF"/>
    <w:rsid w:val="00BA6C8F"/>
    <w:rsid w:val="00BB6328"/>
    <w:rsid w:val="00BD0741"/>
    <w:rsid w:val="00BD1C0F"/>
    <w:rsid w:val="00BE0E50"/>
    <w:rsid w:val="00BE78FD"/>
    <w:rsid w:val="00BF4046"/>
    <w:rsid w:val="00C1710B"/>
    <w:rsid w:val="00C22F7A"/>
    <w:rsid w:val="00C248DB"/>
    <w:rsid w:val="00C250C8"/>
    <w:rsid w:val="00C32661"/>
    <w:rsid w:val="00C33790"/>
    <w:rsid w:val="00C46E6E"/>
    <w:rsid w:val="00C47EC3"/>
    <w:rsid w:val="00C53E38"/>
    <w:rsid w:val="00C57248"/>
    <w:rsid w:val="00C57FEA"/>
    <w:rsid w:val="00C623B6"/>
    <w:rsid w:val="00C63DD8"/>
    <w:rsid w:val="00C65C50"/>
    <w:rsid w:val="00C7169E"/>
    <w:rsid w:val="00C76FDB"/>
    <w:rsid w:val="00C82DC1"/>
    <w:rsid w:val="00C86747"/>
    <w:rsid w:val="00C87532"/>
    <w:rsid w:val="00C904C9"/>
    <w:rsid w:val="00CA45A3"/>
    <w:rsid w:val="00CA6447"/>
    <w:rsid w:val="00CA6967"/>
    <w:rsid w:val="00CA729B"/>
    <w:rsid w:val="00CB0C0E"/>
    <w:rsid w:val="00CC0D46"/>
    <w:rsid w:val="00CC2074"/>
    <w:rsid w:val="00CC65A6"/>
    <w:rsid w:val="00CE1CBB"/>
    <w:rsid w:val="00CE6F26"/>
    <w:rsid w:val="00CE758D"/>
    <w:rsid w:val="00D0105A"/>
    <w:rsid w:val="00D04266"/>
    <w:rsid w:val="00D05CC5"/>
    <w:rsid w:val="00D207DC"/>
    <w:rsid w:val="00D220B1"/>
    <w:rsid w:val="00D25B01"/>
    <w:rsid w:val="00D27B6B"/>
    <w:rsid w:val="00D27F07"/>
    <w:rsid w:val="00D32752"/>
    <w:rsid w:val="00D36B0C"/>
    <w:rsid w:val="00D3760F"/>
    <w:rsid w:val="00D40BBC"/>
    <w:rsid w:val="00D41CEA"/>
    <w:rsid w:val="00D426E0"/>
    <w:rsid w:val="00D428A9"/>
    <w:rsid w:val="00D42C91"/>
    <w:rsid w:val="00D45F6A"/>
    <w:rsid w:val="00D57B22"/>
    <w:rsid w:val="00D676B8"/>
    <w:rsid w:val="00D75FDD"/>
    <w:rsid w:val="00D80C1D"/>
    <w:rsid w:val="00D86823"/>
    <w:rsid w:val="00D90962"/>
    <w:rsid w:val="00D93458"/>
    <w:rsid w:val="00DA44F9"/>
    <w:rsid w:val="00DA70A7"/>
    <w:rsid w:val="00DB45AD"/>
    <w:rsid w:val="00DB645E"/>
    <w:rsid w:val="00DD54AC"/>
    <w:rsid w:val="00DD7A5F"/>
    <w:rsid w:val="00DE0656"/>
    <w:rsid w:val="00DE4EF1"/>
    <w:rsid w:val="00DE6D45"/>
    <w:rsid w:val="00DF7EFD"/>
    <w:rsid w:val="00E06C3D"/>
    <w:rsid w:val="00E07548"/>
    <w:rsid w:val="00E1638D"/>
    <w:rsid w:val="00E2458C"/>
    <w:rsid w:val="00E24DB5"/>
    <w:rsid w:val="00E303D0"/>
    <w:rsid w:val="00E3091E"/>
    <w:rsid w:val="00E348B1"/>
    <w:rsid w:val="00E36F55"/>
    <w:rsid w:val="00E40F30"/>
    <w:rsid w:val="00E4424F"/>
    <w:rsid w:val="00E639BB"/>
    <w:rsid w:val="00E65021"/>
    <w:rsid w:val="00E67CF3"/>
    <w:rsid w:val="00E77844"/>
    <w:rsid w:val="00E84F5E"/>
    <w:rsid w:val="00E86A97"/>
    <w:rsid w:val="00E86F86"/>
    <w:rsid w:val="00E938D8"/>
    <w:rsid w:val="00E93DAE"/>
    <w:rsid w:val="00EB0186"/>
    <w:rsid w:val="00EB2943"/>
    <w:rsid w:val="00EB2A29"/>
    <w:rsid w:val="00EB5CBF"/>
    <w:rsid w:val="00EB7264"/>
    <w:rsid w:val="00EC6BE5"/>
    <w:rsid w:val="00EC7209"/>
    <w:rsid w:val="00ED2E45"/>
    <w:rsid w:val="00ED6A0E"/>
    <w:rsid w:val="00EE0F0B"/>
    <w:rsid w:val="00EF6588"/>
    <w:rsid w:val="00EF6E1E"/>
    <w:rsid w:val="00EF7F70"/>
    <w:rsid w:val="00F06515"/>
    <w:rsid w:val="00F17907"/>
    <w:rsid w:val="00F2275F"/>
    <w:rsid w:val="00F24B74"/>
    <w:rsid w:val="00F250AC"/>
    <w:rsid w:val="00F31605"/>
    <w:rsid w:val="00F42439"/>
    <w:rsid w:val="00F44533"/>
    <w:rsid w:val="00F44DBB"/>
    <w:rsid w:val="00F474E5"/>
    <w:rsid w:val="00F64277"/>
    <w:rsid w:val="00F74B47"/>
    <w:rsid w:val="00F77E1B"/>
    <w:rsid w:val="00F825FD"/>
    <w:rsid w:val="00F857FF"/>
    <w:rsid w:val="00F90BF0"/>
    <w:rsid w:val="00F944A1"/>
    <w:rsid w:val="00F96FD0"/>
    <w:rsid w:val="00FA0A98"/>
    <w:rsid w:val="00FA2B1B"/>
    <w:rsid w:val="00FC04BF"/>
    <w:rsid w:val="00FE05AA"/>
    <w:rsid w:val="00FE2162"/>
    <w:rsid w:val="00FF126A"/>
    <w:rsid w:val="00FF4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3DED"/>
  <w15:chartTrackingRefBased/>
  <w15:docId w15:val="{0A0614EC-666C-47A3-9F30-8FEF6072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spacing w:before="240" w:after="0" w:line="288" w:lineRule="auto"/>
      <w:ind w:left="720" w:hanging="360"/>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paragraph" w:customStyle="1" w:styleId="msonormal0">
    <w:name w:val="msonormal"/>
    <w:basedOn w:val="Normal"/>
    <w:rsid w:val="00D42C9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0">
    <w:name w:val="xl70"/>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1">
    <w:name w:val="xl71"/>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2">
    <w:name w:val="xl72"/>
    <w:basedOn w:val="Normal"/>
    <w:rsid w:val="00D42C9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3">
    <w:name w:val="xl73"/>
    <w:basedOn w:val="Normal"/>
    <w:rsid w:val="00D42C9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4">
    <w:name w:val="xl74"/>
    <w:basedOn w:val="Normal"/>
    <w:rsid w:val="00D42C9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75">
    <w:name w:val="xl75"/>
    <w:basedOn w:val="Normal"/>
    <w:rsid w:val="00D42C9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auto"/>
    </w:rPr>
  </w:style>
  <w:style w:type="paragraph" w:customStyle="1" w:styleId="xl76">
    <w:name w:val="xl76"/>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auto"/>
    </w:rPr>
  </w:style>
  <w:style w:type="paragraph" w:customStyle="1" w:styleId="xl77">
    <w:name w:val="xl77"/>
    <w:basedOn w:val="Normal"/>
    <w:rsid w:val="00D4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C63DD8"/>
    <w:pPr>
      <w:spacing w:line="240" w:lineRule="auto"/>
    </w:pPr>
  </w:style>
  <w:style w:type="paragraph" w:styleId="FootnoteText">
    <w:name w:val="footnote text"/>
    <w:basedOn w:val="Normal"/>
    <w:link w:val="FootnoteTextChar"/>
    <w:uiPriority w:val="99"/>
    <w:semiHidden/>
    <w:unhideWhenUsed/>
    <w:rsid w:val="00975B11"/>
    <w:pPr>
      <w:spacing w:line="240" w:lineRule="auto"/>
    </w:pPr>
    <w:rPr>
      <w:sz w:val="20"/>
      <w:szCs w:val="20"/>
    </w:rPr>
  </w:style>
  <w:style w:type="character" w:customStyle="1" w:styleId="FootnoteTextChar">
    <w:name w:val="Footnote Text Char"/>
    <w:basedOn w:val="DefaultParagraphFont"/>
    <w:link w:val="FootnoteText"/>
    <w:uiPriority w:val="99"/>
    <w:semiHidden/>
    <w:rsid w:val="00975B11"/>
    <w:rPr>
      <w:sz w:val="20"/>
      <w:szCs w:val="20"/>
    </w:rPr>
  </w:style>
  <w:style w:type="character" w:styleId="FootnoteReference">
    <w:name w:val="footnote reference"/>
    <w:basedOn w:val="DefaultParagraphFont"/>
    <w:uiPriority w:val="99"/>
    <w:semiHidden/>
    <w:unhideWhenUsed/>
    <w:rsid w:val="00975B11"/>
    <w:rPr>
      <w:vertAlign w:val="superscript"/>
    </w:rPr>
  </w:style>
  <w:style w:type="character" w:styleId="UnresolvedMention">
    <w:name w:val="Unresolved Mention"/>
    <w:basedOn w:val="DefaultParagraphFont"/>
    <w:uiPriority w:val="99"/>
    <w:semiHidden/>
    <w:unhideWhenUsed/>
    <w:rsid w:val="00A9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4615">
      <w:bodyDiv w:val="1"/>
      <w:marLeft w:val="0"/>
      <w:marRight w:val="0"/>
      <w:marTop w:val="0"/>
      <w:marBottom w:val="0"/>
      <w:divBdr>
        <w:top w:val="none" w:sz="0" w:space="0" w:color="auto"/>
        <w:left w:val="none" w:sz="0" w:space="0" w:color="auto"/>
        <w:bottom w:val="none" w:sz="0" w:space="0" w:color="auto"/>
        <w:right w:val="none" w:sz="0" w:space="0" w:color="auto"/>
      </w:divBdr>
    </w:div>
    <w:div w:id="519050654">
      <w:bodyDiv w:val="1"/>
      <w:marLeft w:val="0"/>
      <w:marRight w:val="0"/>
      <w:marTop w:val="0"/>
      <w:marBottom w:val="0"/>
      <w:divBdr>
        <w:top w:val="none" w:sz="0" w:space="0" w:color="auto"/>
        <w:left w:val="none" w:sz="0" w:space="0" w:color="auto"/>
        <w:bottom w:val="none" w:sz="0" w:space="0" w:color="auto"/>
        <w:right w:val="none" w:sz="0" w:space="0" w:color="auto"/>
      </w:divBdr>
    </w:div>
    <w:div w:id="668874740">
      <w:bodyDiv w:val="1"/>
      <w:marLeft w:val="0"/>
      <w:marRight w:val="0"/>
      <w:marTop w:val="0"/>
      <w:marBottom w:val="0"/>
      <w:divBdr>
        <w:top w:val="none" w:sz="0" w:space="0" w:color="auto"/>
        <w:left w:val="none" w:sz="0" w:space="0" w:color="auto"/>
        <w:bottom w:val="none" w:sz="0" w:space="0" w:color="auto"/>
        <w:right w:val="none" w:sz="0" w:space="0" w:color="auto"/>
      </w:divBdr>
    </w:div>
    <w:div w:id="686445432">
      <w:bodyDiv w:val="1"/>
      <w:marLeft w:val="0"/>
      <w:marRight w:val="0"/>
      <w:marTop w:val="0"/>
      <w:marBottom w:val="0"/>
      <w:divBdr>
        <w:top w:val="none" w:sz="0" w:space="0" w:color="auto"/>
        <w:left w:val="none" w:sz="0" w:space="0" w:color="auto"/>
        <w:bottom w:val="none" w:sz="0" w:space="0" w:color="auto"/>
        <w:right w:val="none" w:sz="0" w:space="0" w:color="auto"/>
      </w:divBdr>
    </w:div>
    <w:div w:id="1022706372">
      <w:bodyDiv w:val="1"/>
      <w:marLeft w:val="0"/>
      <w:marRight w:val="0"/>
      <w:marTop w:val="0"/>
      <w:marBottom w:val="0"/>
      <w:divBdr>
        <w:top w:val="none" w:sz="0" w:space="0" w:color="auto"/>
        <w:left w:val="none" w:sz="0" w:space="0" w:color="auto"/>
        <w:bottom w:val="none" w:sz="0" w:space="0" w:color="auto"/>
        <w:right w:val="none" w:sz="0" w:space="0" w:color="auto"/>
      </w:divBdr>
    </w:div>
    <w:div w:id="1317567081">
      <w:bodyDiv w:val="1"/>
      <w:marLeft w:val="0"/>
      <w:marRight w:val="0"/>
      <w:marTop w:val="0"/>
      <w:marBottom w:val="0"/>
      <w:divBdr>
        <w:top w:val="none" w:sz="0" w:space="0" w:color="auto"/>
        <w:left w:val="none" w:sz="0" w:space="0" w:color="auto"/>
        <w:bottom w:val="none" w:sz="0" w:space="0" w:color="auto"/>
        <w:right w:val="none" w:sz="0" w:space="0" w:color="auto"/>
      </w:divBdr>
    </w:div>
    <w:div w:id="1658530901">
      <w:bodyDiv w:val="1"/>
      <w:marLeft w:val="0"/>
      <w:marRight w:val="0"/>
      <w:marTop w:val="0"/>
      <w:marBottom w:val="0"/>
      <w:divBdr>
        <w:top w:val="none" w:sz="0" w:space="0" w:color="auto"/>
        <w:left w:val="none" w:sz="0" w:space="0" w:color="auto"/>
        <w:bottom w:val="none" w:sz="0" w:space="0" w:color="auto"/>
        <w:right w:val="none" w:sz="0" w:space="0" w:color="auto"/>
      </w:divBdr>
    </w:div>
    <w:div w:id="17249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C1F66198776E43A1D56BC4060C9636" ma:contentTypeVersion="8" ma:contentTypeDescription="Create a new document." ma:contentTypeScope="" ma:versionID="b12512e9ab71db152efd4bcc3fd1230f">
  <xsd:schema xmlns:xsd="http://www.w3.org/2001/XMLSchema" xmlns:xs="http://www.w3.org/2001/XMLSchema" xmlns:p="http://schemas.microsoft.com/office/2006/metadata/properties" xmlns:ns2="1df9d044-5605-4daf-b7da-1d8587d83250" targetNamespace="http://schemas.microsoft.com/office/2006/metadata/properties" ma:root="true" ma:fieldsID="59543d4cfd86ff9fe61fd89f8d07ec20" ns2:_="">
    <xsd:import namespace="1df9d044-5605-4daf-b7da-1d8587d83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9d044-5605-4daf-b7da-1d8587d83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29F7E-A8E4-4B83-BFE9-2F7D184F24A9}">
  <ds:schemaRefs>
    <ds:schemaRef ds:uri="http://schemas.openxmlformats.org/officeDocument/2006/bibliography"/>
  </ds:schemaRefs>
</ds:datastoreItem>
</file>

<file path=customXml/itemProps2.xml><?xml version="1.0" encoding="utf-8"?>
<ds:datastoreItem xmlns:ds="http://schemas.openxmlformats.org/officeDocument/2006/customXml" ds:itemID="{05730005-A7DF-474B-B6F4-C60341765BCD}"/>
</file>

<file path=customXml/itemProps3.xml><?xml version="1.0" encoding="utf-8"?>
<ds:datastoreItem xmlns:ds="http://schemas.openxmlformats.org/officeDocument/2006/customXml" ds:itemID="{1B27B16A-2D4A-48F2-9DED-4E2DD69AF9DF}"/>
</file>

<file path=customXml/itemProps4.xml><?xml version="1.0" encoding="utf-8"?>
<ds:datastoreItem xmlns:ds="http://schemas.openxmlformats.org/officeDocument/2006/customXml" ds:itemID="{30C98D0E-F186-4D35-908B-665BA5C6D86B}"/>
</file>

<file path=docProps/app.xml><?xml version="1.0" encoding="utf-8"?>
<Properties xmlns="http://schemas.openxmlformats.org/officeDocument/2006/extended-properties" xmlns:vt="http://schemas.openxmlformats.org/officeDocument/2006/docPropsVTypes">
  <Template>Normal</Template>
  <TotalTime>2</TotalTime>
  <Pages>11</Pages>
  <Words>2721</Words>
  <Characters>15510</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2024-04-24T19:26:00Z</dcterms:created>
  <dcterms:modified xsi:type="dcterms:W3CDTF">2024-04-24T22:05:00Z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0x010100EBC1F66198776E43A1D56BC4060C9636</vt:lpwstr>
  </property>
</Properties>
</file>